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88E71" w14:textId="7FD26A22" w:rsidR="003354FA" w:rsidRPr="00B266B0" w:rsidRDefault="003354FA" w:rsidP="003354FA">
      <w:pPr>
        <w:pStyle w:val="Header"/>
        <w:tabs>
          <w:tab w:val="right" w:pos="9639"/>
        </w:tabs>
        <w:rPr>
          <w:bCs/>
          <w:i/>
          <w:noProof w:val="0"/>
          <w:sz w:val="24"/>
          <w:szCs w:val="24"/>
        </w:rPr>
      </w:pPr>
      <w:bookmarkStart w:id="0" w:name="_GoBack"/>
      <w:bookmarkEnd w:id="0"/>
      <w:r w:rsidRPr="00B266B0">
        <w:rPr>
          <w:bCs/>
          <w:noProof w:val="0"/>
          <w:sz w:val="24"/>
          <w:szCs w:val="24"/>
        </w:rPr>
        <w:t xml:space="preserve">3GPP TSG-RAN </w:t>
      </w:r>
      <w:r>
        <w:rPr>
          <w:noProof w:val="0"/>
          <w:sz w:val="24"/>
          <w:szCs w:val="24"/>
        </w:rPr>
        <w:t>WG2 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63498" w:rsidRPr="00063498">
        <w:t xml:space="preserve"> </w:t>
      </w:r>
      <w:r w:rsidR="00063498" w:rsidRPr="00063498">
        <w:rPr>
          <w:bCs/>
          <w:noProof w:val="0"/>
          <w:sz w:val="24"/>
          <w:szCs w:val="24"/>
        </w:rPr>
        <w:t>1706859</w:t>
      </w:r>
      <w:r>
        <w:rPr>
          <w:bCs/>
          <w:noProof w:val="0"/>
          <w:sz w:val="24"/>
          <w:szCs w:val="24"/>
        </w:rPr>
        <w:t xml:space="preserve"> </w:t>
      </w:r>
    </w:p>
    <w:p w14:paraId="2933D67F" w14:textId="773D69C0" w:rsidR="003354FA" w:rsidRDefault="003354FA" w:rsidP="003354FA">
      <w:pPr>
        <w:pStyle w:val="Header"/>
        <w:rPr>
          <w:rFonts w:eastAsia="SimSun"/>
          <w:noProof w:val="0"/>
          <w:sz w:val="24"/>
          <w:szCs w:val="24"/>
          <w:lang w:eastAsia="zh-CN"/>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p>
    <w:p w14:paraId="3C15E5F3" w14:textId="77777777" w:rsidR="003354FA" w:rsidRPr="00B266B0" w:rsidRDefault="003354FA" w:rsidP="003354FA">
      <w:pPr>
        <w:pStyle w:val="Header"/>
        <w:rPr>
          <w:bCs/>
          <w:noProof w:val="0"/>
          <w:sz w:val="24"/>
        </w:rPr>
      </w:pPr>
    </w:p>
    <w:p w14:paraId="59D9C619" w14:textId="55AB124D" w:rsidR="001D2BF6" w:rsidRPr="00B266B0" w:rsidRDefault="001D2BF6" w:rsidP="001D2BF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63498" w:rsidRPr="00063498">
        <w:rPr>
          <w:rFonts w:cs="Arial"/>
          <w:b/>
          <w:bCs/>
          <w:sz w:val="24"/>
          <w:lang w:eastAsia="ja-JP"/>
        </w:rPr>
        <w:t>10.2.6.2</w:t>
      </w:r>
    </w:p>
    <w:p w14:paraId="1291A592" w14:textId="77777777" w:rsidR="001D2BF6" w:rsidRPr="00B266B0" w:rsidRDefault="001D2BF6" w:rsidP="001D2BF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78898882" w14:textId="57D7E3A9" w:rsidR="001D2BF6" w:rsidRDefault="001D2BF6" w:rsidP="001D2BF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63498" w:rsidRPr="00063498">
        <w:rPr>
          <w:rFonts w:ascii="Arial" w:hAnsi="Arial" w:cs="Arial"/>
          <w:b/>
          <w:bCs/>
          <w:sz w:val="24"/>
        </w:rPr>
        <w:t>UE capability structure and coordination aspects for MR-DC</w:t>
      </w:r>
    </w:p>
    <w:p w14:paraId="4F46E574" w14:textId="77777777" w:rsidR="001D2BF6" w:rsidRPr="00B266B0" w:rsidRDefault="001D2BF6" w:rsidP="001D2BF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238A4" w:rsidRPr="004F42A2">
        <w:rPr>
          <w:rFonts w:ascii="Arial" w:hAnsi="Arial" w:cs="Arial"/>
          <w:b/>
          <w:bCs/>
          <w:sz w:val="24"/>
        </w:rPr>
        <w:t>NR_newRAT (Release 15)</w:t>
      </w:r>
    </w:p>
    <w:p w14:paraId="60EA3F07" w14:textId="0D15C887" w:rsidR="001D2BF6" w:rsidRPr="00B266B0" w:rsidRDefault="001D2BF6"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580E628" w14:textId="77777777" w:rsidR="00CD4C7B" w:rsidRPr="006E13D1" w:rsidRDefault="00CD4C7B" w:rsidP="00CD4C7B">
      <w:pPr>
        <w:pStyle w:val="Heading1"/>
      </w:pPr>
      <w:r w:rsidRPr="006E13D1">
        <w:t>1</w:t>
      </w:r>
      <w:r w:rsidRPr="006E13D1">
        <w:tab/>
      </w:r>
      <w:r w:rsidR="0056573F">
        <w:t>Introduction</w:t>
      </w:r>
    </w:p>
    <w:p w14:paraId="0D0A549E" w14:textId="77777777" w:rsidR="0094277F" w:rsidRDefault="0094277F" w:rsidP="0094277F">
      <w:pPr>
        <w:pStyle w:val="Doc-text2"/>
        <w:pBdr>
          <w:top w:val="single" w:sz="4" w:space="1" w:color="auto"/>
          <w:left w:val="single" w:sz="4" w:space="4" w:color="auto"/>
          <w:bottom w:val="single" w:sz="4" w:space="1" w:color="auto"/>
          <w:right w:val="single" w:sz="4" w:space="4" w:color="auto"/>
        </w:pBdr>
      </w:pPr>
      <w:r>
        <w:t>Agreements:</w:t>
      </w:r>
    </w:p>
    <w:p w14:paraId="605CDAD5" w14:textId="77777777" w:rsidR="0094277F" w:rsidRDefault="0094277F" w:rsidP="0094277F">
      <w:pPr>
        <w:pStyle w:val="Doc-text2"/>
        <w:pBdr>
          <w:top w:val="single" w:sz="4" w:space="1" w:color="auto"/>
          <w:left w:val="single" w:sz="4" w:space="4" w:color="auto"/>
          <w:bottom w:val="single" w:sz="4" w:space="1" w:color="auto"/>
          <w:right w:val="single" w:sz="4" w:space="4" w:color="auto"/>
        </w:pBdr>
      </w:pPr>
      <w:r>
        <w:t xml:space="preserve">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p>
    <w:p w14:paraId="65440860" w14:textId="77777777" w:rsidR="0094277F" w:rsidRDefault="0094277F" w:rsidP="0094277F">
      <w:pPr>
        <w:pStyle w:val="Doc-text2"/>
        <w:pBdr>
          <w:top w:val="single" w:sz="4" w:space="1" w:color="auto"/>
          <w:left w:val="single" w:sz="4" w:space="4" w:color="auto"/>
          <w:bottom w:val="single" w:sz="4" w:space="1" w:color="auto"/>
          <w:right w:val="single" w:sz="4" w:space="4" w:color="auto"/>
        </w:pBdr>
      </w:pPr>
      <w:r>
        <w:t>RAN2 aim for a solution where the master node and secondary node are not required to comprehend each other’s UE configuration.</w:t>
      </w:r>
    </w:p>
    <w:p w14:paraId="7E023366" w14:textId="77777777" w:rsidR="0094277F" w:rsidRDefault="0094277F" w:rsidP="0094277F">
      <w:pPr>
        <w:pStyle w:val="Doc-text2"/>
        <w:pBdr>
          <w:top w:val="single" w:sz="4" w:space="1" w:color="auto"/>
          <w:left w:val="single" w:sz="4" w:space="4" w:color="auto"/>
          <w:bottom w:val="single" w:sz="4" w:space="1" w:color="auto"/>
          <w:right w:val="single" w:sz="4" w:space="4" w:color="auto"/>
        </w:pBdr>
      </w:pPr>
    </w:p>
    <w:p w14:paraId="1D39C821" w14:textId="77777777" w:rsidR="000E2EBD" w:rsidRDefault="000E2EBD" w:rsidP="007361D3">
      <w:pPr>
        <w:jc w:val="center"/>
        <w:rPr>
          <w:b/>
          <w:lang w:eastAsia="ja-JP"/>
        </w:rPr>
      </w:pPr>
    </w:p>
    <w:p w14:paraId="40108E47" w14:textId="436F3B11" w:rsidR="007361D3" w:rsidRDefault="007361D3" w:rsidP="007361D3">
      <w:pPr>
        <w:jc w:val="center"/>
        <w:rPr>
          <w:b/>
          <w:lang w:eastAsia="ja-JP"/>
        </w:rPr>
      </w:pPr>
      <w:r>
        <w:rPr>
          <w:b/>
          <w:lang w:eastAsia="ja-JP"/>
        </w:rPr>
        <w:t>Table 1: RAN2 agreements made in the RAN2#95-bis meeting</w:t>
      </w:r>
    </w:p>
    <w:p w14:paraId="562F12A8"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t>Agreements</w:t>
      </w:r>
    </w:p>
    <w:p w14:paraId="66EBA134"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t>1:</w:t>
      </w:r>
      <w:r>
        <w:tab/>
        <w:t>NR Capability is defined as the UE capability container for NR to include all NR specific capabilities required for the standalone operation.</w:t>
      </w:r>
    </w:p>
    <w:p w14:paraId="7894307D"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t>1a:</w:t>
      </w:r>
      <w:r>
        <w:tab/>
      </w:r>
      <w:r>
        <w:tab/>
        <w:t>The capabilities for CA/DC within NR are reported, if supported, in the NR Capability.</w:t>
      </w:r>
    </w:p>
    <w:p w14:paraId="68151B20"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LTE/NR DC specific capabilities requiring coordination between eNB and gNB are included in NR-Capability or LTE Capability or a new LTE/NR-Capability container.</w:t>
      </w:r>
    </w:p>
    <w:p w14:paraId="0CBE943D"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t>3:</w:t>
      </w:r>
      <w:r>
        <w:tab/>
        <w:t>The eNB/gNB should be able to retrieve NR Capability, LTE/NR-Capability (if agreed) and LTE-Capability depending on the NSA/SA operations.</w:t>
      </w:r>
    </w:p>
    <w:p w14:paraId="06499412"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t>4:</w:t>
      </w:r>
      <w:r>
        <w:tab/>
        <w:t>In case of LTE-NR DC/MC, the master node should be able to forward LTE/NR-Capability (if agreed) and the secondary RAT specific capability (NR-Capability or EUTRA-Capability) to the secondary node within “SCG-ConfigInfo” (The IE name for LTE-NR DC/MC is TBD).</w:t>
      </w:r>
    </w:p>
    <w:p w14:paraId="4FC23AF3" w14:textId="77777777" w:rsidR="007361D3" w:rsidRDefault="007361D3" w:rsidP="007361D3">
      <w:pPr>
        <w:jc w:val="center"/>
        <w:rPr>
          <w:b/>
          <w:lang w:eastAsia="ja-JP"/>
        </w:rPr>
      </w:pPr>
    </w:p>
    <w:p w14:paraId="695C4FE5" w14:textId="77777777" w:rsidR="007361D3" w:rsidRDefault="007361D3" w:rsidP="007361D3">
      <w:pPr>
        <w:jc w:val="center"/>
        <w:rPr>
          <w:b/>
          <w:lang w:eastAsia="ja-JP"/>
        </w:rPr>
      </w:pPr>
      <w:r>
        <w:rPr>
          <w:b/>
          <w:lang w:eastAsia="ja-JP"/>
        </w:rPr>
        <w:t>Table 2: RAN2 agreements made in the RAN2#97-bis meeting</w:t>
      </w:r>
    </w:p>
    <w:p w14:paraId="1571F94F" w14:textId="77777777" w:rsidR="00577E94" w:rsidRDefault="00737F86" w:rsidP="00CD4C7B">
      <w:r>
        <w:t>During the previous RAN2 meetings the agreements</w:t>
      </w:r>
      <w:r w:rsidR="007361D3">
        <w:t xml:space="preserve"> listed above have been </w:t>
      </w:r>
      <w:r>
        <w:t xml:space="preserve">made </w:t>
      </w:r>
      <w:r w:rsidR="007361D3">
        <w:t>w</w:t>
      </w:r>
      <w:r>
        <w:t>ith regards to the node capability coordination</w:t>
      </w:r>
      <w:r w:rsidR="00577E94">
        <w:t xml:space="preserve"> in LTE/NR tight interworking. In this contribution, we would like to discuss how the master node may be able to estimate whether LTE/NR tight interworking should be attempted for a given configuration, especially with the working assumption that case the master and secondary nodes are not required to understand/comprehend each other’s capabilities, and hence may not be able to estimate a priori, the expected performance of each other.</w:t>
      </w:r>
    </w:p>
    <w:p w14:paraId="5075FB81" w14:textId="77777777" w:rsidR="007361D3" w:rsidRDefault="007361D3" w:rsidP="00CD4C7B">
      <w:r>
        <w:t>In addition, we also discuss the FFS issue listed above:</w:t>
      </w:r>
    </w:p>
    <w:p w14:paraId="593E595B" w14:textId="77777777" w:rsidR="007361D3" w:rsidRDefault="007361D3" w:rsidP="007361D3">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LTE/NR DC specific capabilities requiring coordination between eNB and gNB are included in NR-Capability or LTE Capability or a new LTE/NR-Capability container.</w:t>
      </w:r>
    </w:p>
    <w:p w14:paraId="47F6DB90" w14:textId="77777777" w:rsidR="00CD4C7B" w:rsidRPr="006E13D1" w:rsidRDefault="00CD4C7B" w:rsidP="00CD4C7B">
      <w:pPr>
        <w:pStyle w:val="Heading1"/>
      </w:pPr>
      <w:r w:rsidRPr="006E13D1">
        <w:lastRenderedPageBreak/>
        <w:t>2</w:t>
      </w:r>
      <w:r w:rsidRPr="006E13D1">
        <w:tab/>
      </w:r>
      <w:r w:rsidR="007361D3">
        <w:t>Background</w:t>
      </w:r>
    </w:p>
    <w:p w14:paraId="6452058B" w14:textId="12D47F5E" w:rsidR="00AA1D98" w:rsidRDefault="00397F0C" w:rsidP="007361D3">
      <w:pPr>
        <w:jc w:val="center"/>
      </w:pPr>
      <w:r>
        <w:rPr>
          <w:lang w:val="en-IN"/>
        </w:rPr>
        <w:pict w14:anchorId="4ADCE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15pt;height:141pt">
            <v:imagedata r:id="rId11" o:title=""/>
          </v:shape>
        </w:pict>
      </w:r>
    </w:p>
    <w:p w14:paraId="07DB825B" w14:textId="77777777" w:rsidR="00AA1D98" w:rsidRPr="007B25FD" w:rsidRDefault="00AA1D98" w:rsidP="00AA1D98">
      <w:pPr>
        <w:jc w:val="center"/>
        <w:rPr>
          <w:rFonts w:ascii="Arial" w:hAnsi="Arial"/>
          <w:b/>
        </w:rPr>
      </w:pPr>
      <w:r w:rsidRPr="007B25FD">
        <w:rPr>
          <w:rFonts w:ascii="Arial" w:hAnsi="Arial"/>
          <w:b/>
        </w:rPr>
        <w:t xml:space="preserve">Figure </w:t>
      </w:r>
      <w:r w:rsidR="00471011">
        <w:rPr>
          <w:rFonts w:ascii="Arial" w:hAnsi="Arial"/>
          <w:b/>
        </w:rPr>
        <w:t>2-</w:t>
      </w:r>
      <w:r w:rsidRPr="007B25FD">
        <w:rPr>
          <w:rFonts w:ascii="Arial" w:hAnsi="Arial"/>
          <w:b/>
        </w:rPr>
        <w:t xml:space="preserve">1: </w:t>
      </w:r>
      <w:r w:rsidR="007361D3">
        <w:rPr>
          <w:rFonts w:ascii="Arial" w:hAnsi="Arial"/>
          <w:b/>
        </w:rPr>
        <w:t>LTE-NR DC scenarios under consideration for the WI phase</w:t>
      </w:r>
    </w:p>
    <w:p w14:paraId="0B24A1FF" w14:textId="77777777" w:rsidR="00CD4C7B" w:rsidRDefault="00AA1D98" w:rsidP="001B49C9">
      <w:r>
        <w:t xml:space="preserve">The discussion in the rest of the document is applicable </w:t>
      </w:r>
      <w:r w:rsidR="00A30182">
        <w:t xml:space="preserve">at least </w:t>
      </w:r>
      <w:r>
        <w:t>for</w:t>
      </w:r>
      <w:r w:rsidR="005704CF">
        <w:t xml:space="preserve"> the well-known</w:t>
      </w:r>
      <w:r>
        <w:t xml:space="preserve"> Scenario 3 </w:t>
      </w:r>
      <w:r w:rsidR="007361D3">
        <w:t>and 7 shown above.</w:t>
      </w:r>
    </w:p>
    <w:p w14:paraId="17676B50" w14:textId="154FC5C7" w:rsidR="002B3110" w:rsidRDefault="002B3110" w:rsidP="001B49C9">
      <w:r>
        <w:t xml:space="preserve">For the purposes of focussing the discussion in this document we reiterate </w:t>
      </w:r>
      <w:r w:rsidR="00623807">
        <w:t>the summary i</w:t>
      </w:r>
      <w:r>
        <w:t>n the RAN2 TR 38.912 ([</w:t>
      </w:r>
      <w:r w:rsidR="00DB080E">
        <w:t>2</w:t>
      </w:r>
      <w:r>
        <w:t>]), the capability</w:t>
      </w:r>
      <w:r w:rsidR="00623807">
        <w:t>:</w:t>
      </w:r>
    </w:p>
    <w:tbl>
      <w:tblPr>
        <w:tblStyle w:val="TableGrid"/>
        <w:tblW w:w="0" w:type="auto"/>
        <w:tblLook w:val="04A0" w:firstRow="1" w:lastRow="0" w:firstColumn="1" w:lastColumn="0" w:noHBand="0" w:noVBand="1"/>
      </w:tblPr>
      <w:tblGrid>
        <w:gridCol w:w="9631"/>
      </w:tblGrid>
      <w:tr w:rsidR="005670FB" w14:paraId="2969BDD7" w14:textId="77777777" w:rsidTr="005670FB">
        <w:tc>
          <w:tcPr>
            <w:tcW w:w="9631" w:type="dxa"/>
          </w:tcPr>
          <w:p w14:paraId="758C8DF6" w14:textId="77777777" w:rsidR="005670FB" w:rsidRPr="00483469" w:rsidRDefault="005670FB" w:rsidP="005670FB">
            <w:pPr>
              <w:rPr>
                <w:lang w:val="en-US" w:eastAsia="ja-JP"/>
              </w:rPr>
            </w:pPr>
            <w:r w:rsidRPr="00D3687F">
              <w:rPr>
                <w:lang w:val="en-US" w:eastAsia="ja-JP"/>
              </w:rPr>
              <w:t>In addition, if the UE supports DC between LTE and NR, the following principles are additionally taken into account:</w:t>
            </w:r>
          </w:p>
          <w:p w14:paraId="2C2F1586" w14:textId="77777777" w:rsidR="005670FB" w:rsidRDefault="005670FB" w:rsidP="005670FB">
            <w:pPr>
              <w:pStyle w:val="B1"/>
              <w:rPr>
                <w:lang w:val="en-US" w:eastAsia="ja-JP"/>
              </w:rPr>
            </w:pPr>
            <w:r>
              <w:rPr>
                <w:lang w:val="en-US" w:eastAsia="ja-JP"/>
              </w:rPr>
              <w:t>1.</w:t>
            </w:r>
            <w:r>
              <w:rPr>
                <w:lang w:val="en-US" w:eastAsia="ja-JP"/>
              </w:rPr>
              <w:tab/>
            </w:r>
            <w:r w:rsidRPr="00F750BA">
              <w:rPr>
                <w:lang w:val="en-US" w:eastAsia="ja-JP"/>
              </w:rPr>
              <w:t>LTE capability changes;</w:t>
            </w:r>
          </w:p>
          <w:p w14:paraId="25597299" w14:textId="77777777" w:rsidR="005670FB" w:rsidRDefault="005670FB" w:rsidP="005670FB">
            <w:pPr>
              <w:pStyle w:val="B1"/>
              <w:rPr>
                <w:lang w:val="en-US" w:eastAsia="ja-JP"/>
              </w:rPr>
            </w:pPr>
            <w:r>
              <w:rPr>
                <w:lang w:val="en-US" w:eastAsia="ja-JP"/>
              </w:rPr>
              <w:t>2.</w:t>
            </w:r>
            <w:r>
              <w:rPr>
                <w:lang w:val="en-US" w:eastAsia="ja-JP"/>
              </w:rPr>
              <w:tab/>
            </w:r>
            <w:r w:rsidRPr="00F750BA">
              <w:rPr>
                <w:lang w:val="en-US" w:eastAsia="ja-JP"/>
              </w:rPr>
              <w:t>NR capability reporting supports independent capability reporting in accordance with the principle described in this sub-clause.</w:t>
            </w:r>
          </w:p>
          <w:p w14:paraId="738E24E8" w14:textId="77777777" w:rsidR="005670FB" w:rsidRDefault="005670FB" w:rsidP="005670FB">
            <w:pPr>
              <w:pStyle w:val="B1"/>
              <w:rPr>
                <w:lang w:val="en-US" w:eastAsia="ja-JP"/>
              </w:rPr>
            </w:pPr>
            <w:r>
              <w:rPr>
                <w:lang w:val="en-US" w:eastAsia="ja-JP"/>
              </w:rPr>
              <w:t>3.</w:t>
            </w:r>
            <w:r>
              <w:rPr>
                <w:lang w:val="en-US" w:eastAsia="ja-JP"/>
              </w:rPr>
              <w:tab/>
            </w:r>
            <w:r w:rsidRPr="00F750BA">
              <w:rPr>
                <w:lang w:val="en-US" w:eastAsia="ja-JP"/>
              </w:rPr>
              <w:t>Capability dependency between LTE and NR.</w:t>
            </w:r>
          </w:p>
          <w:p w14:paraId="2F2AC381" w14:textId="77777777" w:rsidR="005670FB" w:rsidRDefault="005670FB" w:rsidP="005670FB">
            <w:pPr>
              <w:pStyle w:val="B2"/>
              <w:rPr>
                <w:lang w:val="en-US" w:eastAsia="ja-JP"/>
              </w:rPr>
            </w:pPr>
            <w:r>
              <w:rPr>
                <w:lang w:val="en-US" w:eastAsia="ja-JP"/>
              </w:rPr>
              <w:t>-</w:t>
            </w:r>
            <w:r>
              <w:rPr>
                <w:lang w:val="en-US" w:eastAsia="ja-JP"/>
              </w:rPr>
              <w:tab/>
              <w:t>Type I capabilities:</w:t>
            </w:r>
            <w:r>
              <w:rPr>
                <w:lang w:val="en-US" w:eastAsia="ja-JP"/>
              </w:rPr>
              <w:tab/>
            </w:r>
            <w:r w:rsidRPr="00B11D4F">
              <w:rPr>
                <w:lang w:val="en-US" w:eastAsia="ja-JP"/>
              </w:rPr>
              <w:t>The use of the capability is isolated to the RAT.</w:t>
            </w:r>
          </w:p>
          <w:p w14:paraId="169B0302" w14:textId="77777777" w:rsidR="005670FB" w:rsidRDefault="005670FB" w:rsidP="005670FB">
            <w:pPr>
              <w:pStyle w:val="B2"/>
              <w:rPr>
                <w:lang w:val="en-US" w:eastAsia="ja-JP"/>
              </w:rPr>
            </w:pPr>
            <w:r>
              <w:rPr>
                <w:lang w:val="en-US" w:eastAsia="ja-JP"/>
              </w:rPr>
              <w:t>-</w:t>
            </w:r>
            <w:r>
              <w:rPr>
                <w:lang w:val="en-US" w:eastAsia="ja-JP"/>
              </w:rPr>
              <w:tab/>
              <w:t>Type II capabilities:</w:t>
            </w:r>
            <w:r>
              <w:rPr>
                <w:lang w:val="en-US" w:eastAsia="ja-JP"/>
              </w:rPr>
              <w:tab/>
              <w:t>T</w:t>
            </w:r>
            <w:r w:rsidRPr="001A20FA">
              <w:rPr>
                <w:lang w:val="en-US" w:eastAsia="ja-JP"/>
              </w:rPr>
              <w:t>he use of the capability in one R</w:t>
            </w:r>
            <w:r>
              <w:rPr>
                <w:lang w:val="en-US" w:eastAsia="ja-JP"/>
              </w:rPr>
              <w:t xml:space="preserve">AT has impacts to the other RAT but is not </w:t>
            </w:r>
            <w:r w:rsidRPr="001A20FA">
              <w:rPr>
                <w:lang w:val="en-US" w:eastAsia="ja-JP"/>
              </w:rPr>
              <w:t>understood by the NW side of the other RAT</w:t>
            </w:r>
            <w:r>
              <w:rPr>
                <w:lang w:val="en-US" w:eastAsia="ja-JP"/>
              </w:rPr>
              <w:t>.</w:t>
            </w:r>
          </w:p>
          <w:p w14:paraId="53CF20B8" w14:textId="77777777" w:rsidR="005670FB" w:rsidRDefault="005670FB" w:rsidP="005670FB">
            <w:pPr>
              <w:pStyle w:val="B2"/>
              <w:rPr>
                <w:lang w:val="en-US" w:eastAsia="ja-JP"/>
              </w:rPr>
            </w:pPr>
            <w:r>
              <w:rPr>
                <w:lang w:val="en-US" w:eastAsia="ja-JP"/>
              </w:rPr>
              <w:t>-</w:t>
            </w:r>
            <w:r>
              <w:rPr>
                <w:lang w:val="en-US" w:eastAsia="ja-JP"/>
              </w:rPr>
              <w:tab/>
              <w:t>Type III capabilities:</w:t>
            </w:r>
            <w:r>
              <w:rPr>
                <w:lang w:val="en-US" w:eastAsia="ja-JP"/>
              </w:rPr>
              <w:tab/>
              <w:t>T</w:t>
            </w:r>
            <w:r w:rsidRPr="001A20FA">
              <w:rPr>
                <w:lang w:val="en-US" w:eastAsia="ja-JP"/>
              </w:rPr>
              <w:t>he use of the capability in one RAT has impact</w:t>
            </w:r>
            <w:r>
              <w:rPr>
                <w:lang w:val="en-US" w:eastAsia="ja-JP"/>
              </w:rPr>
              <w:t>s</w:t>
            </w:r>
            <w:r w:rsidRPr="001A20FA">
              <w:rPr>
                <w:lang w:val="en-US" w:eastAsia="ja-JP"/>
              </w:rPr>
              <w:t xml:space="preserve"> to the othe</w:t>
            </w:r>
            <w:r>
              <w:rPr>
                <w:lang w:val="en-US" w:eastAsia="ja-JP"/>
              </w:rPr>
              <w:t>r RAT and</w:t>
            </w:r>
            <w:r w:rsidRPr="001A20FA">
              <w:rPr>
                <w:lang w:val="en-US" w:eastAsia="ja-JP"/>
              </w:rPr>
              <w:t xml:space="preserve"> is understood by the NW side of the other RAT</w:t>
            </w:r>
            <w:r>
              <w:rPr>
                <w:lang w:val="en-US" w:eastAsia="ja-JP"/>
              </w:rPr>
              <w:t>.</w:t>
            </w:r>
          </w:p>
          <w:p w14:paraId="4C270723" w14:textId="77777777" w:rsidR="005670FB" w:rsidRPr="00483469" w:rsidRDefault="005670FB" w:rsidP="005670FB">
            <w:pPr>
              <w:rPr>
                <w:lang w:val="en-US" w:eastAsia="ja-JP"/>
              </w:rPr>
            </w:pPr>
            <w:r w:rsidRPr="00D3687F">
              <w:rPr>
                <w:lang w:val="en-US" w:eastAsia="ja-JP"/>
              </w:rPr>
              <w:t>For Type I capabilities, no coordination between LTE and NR is required. The secondary RAT specific capabilities are merely forwarded by the master node to the secondary node, following the baseline DC within LTE. Some capabilities (e.g. RF capability) are coordinated using Xx/Xn and involve a reconfiguration of the UE. The configuration of the UE does not exceed its capabilities. Some capabilities (e.g. buffer size) are coordinated using Xx/Xn and will not involve a reconfiguration of the UE. In this case, the ongoing operation of the network does not exceed the UE capabilities.</w:t>
            </w:r>
          </w:p>
          <w:p w14:paraId="1049B0D2" w14:textId="77777777" w:rsidR="005670FB" w:rsidRDefault="005670FB" w:rsidP="005670FB">
            <w:pPr>
              <w:pStyle w:val="NO"/>
              <w:rPr>
                <w:lang w:val="en-US" w:eastAsia="ja-JP"/>
              </w:rPr>
            </w:pPr>
            <w:r>
              <w:rPr>
                <w:lang w:val="en-US" w:eastAsia="ja-JP"/>
              </w:rPr>
              <w:t>NOTE 1:</w:t>
            </w:r>
            <w:r>
              <w:rPr>
                <w:lang w:val="en-US" w:eastAsia="ja-JP"/>
              </w:rPr>
              <w:tab/>
            </w:r>
            <w:r w:rsidRPr="00BF4D4C">
              <w:rPr>
                <w:lang w:val="en-US" w:eastAsia="ja-JP"/>
              </w:rPr>
              <w:t>The above type definitions are guidance for the purpose of discussion in the SI and early part of the WI phase. They will not limit further discussion and will not be captured in the specifications.</w:t>
            </w:r>
          </w:p>
          <w:p w14:paraId="7611195D" w14:textId="77777777" w:rsidR="005670FB" w:rsidRDefault="005670FB" w:rsidP="005670FB">
            <w:pPr>
              <w:rPr>
                <w:lang w:val="en-US" w:eastAsia="ja-JP"/>
              </w:rPr>
            </w:pPr>
            <w:r w:rsidRPr="00D3687F">
              <w:rPr>
                <w:lang w:val="en-US" w:eastAsia="ja-JP"/>
              </w:rPr>
              <w:t>The UE capability coordination between LTE and NR is applied for all the deployment scenarios described in sub-clause 4.1.2.1, 4.1.2.2 and 4.1.2.3 except for the scenarios of single connectivity. At least, the following UE capabilities need to be coordinated across the master node and the secondary node:</w:t>
            </w:r>
          </w:p>
          <w:p w14:paraId="09070404" w14:textId="77777777" w:rsidR="005670FB" w:rsidRDefault="005670FB" w:rsidP="005670FB">
            <w:pPr>
              <w:pStyle w:val="B1"/>
              <w:rPr>
                <w:lang w:val="en-US" w:eastAsia="ja-JP"/>
              </w:rPr>
            </w:pPr>
            <w:r>
              <w:rPr>
                <w:lang w:val="en-US" w:eastAsia="ja-JP"/>
              </w:rPr>
              <w:t>-</w:t>
            </w:r>
            <w:r>
              <w:rPr>
                <w:lang w:val="en-US" w:eastAsia="ja-JP"/>
              </w:rPr>
              <w:tab/>
            </w:r>
            <w:r w:rsidRPr="00BA6226">
              <w:rPr>
                <w:lang w:val="en-US" w:eastAsia="ja-JP"/>
              </w:rPr>
              <w:t>Band combinations across RATs;</w:t>
            </w:r>
          </w:p>
          <w:p w14:paraId="6D31D169" w14:textId="77777777" w:rsidR="005670FB" w:rsidRDefault="005670FB" w:rsidP="005670FB">
            <w:pPr>
              <w:pStyle w:val="B1"/>
              <w:rPr>
                <w:lang w:val="en-US" w:eastAsia="ja-JP"/>
              </w:rPr>
            </w:pPr>
            <w:r>
              <w:rPr>
                <w:lang w:val="en-US" w:eastAsia="ja-JP"/>
              </w:rPr>
              <w:t>-</w:t>
            </w:r>
            <w:r>
              <w:rPr>
                <w:lang w:val="en-US" w:eastAsia="ja-JP"/>
              </w:rPr>
              <w:tab/>
            </w:r>
            <w:r w:rsidRPr="00BA6226">
              <w:rPr>
                <w:lang w:val="en-US" w:eastAsia="ja-JP"/>
              </w:rPr>
              <w:t>Layer-2 buffer.</w:t>
            </w:r>
          </w:p>
          <w:p w14:paraId="2B3B9FAF" w14:textId="77777777" w:rsidR="005670FB" w:rsidRDefault="005670FB" w:rsidP="005670FB">
            <w:r w:rsidRPr="00D3687F">
              <w:rPr>
                <w:lang w:val="en-US" w:eastAsia="ja-JP"/>
              </w:rPr>
              <w:t>For the UE capabilities requiring coordination between LTE and NR, only two nodes (i.e. one eNB and one gNB) need to be involved. Nevertheless, the forward compatibility towards multiple node connectivity can be considered as well. It is up to the master node to decide on how to resolve the dependency between LTE and NR. The secondary node can initiate the re-negotiation of the UE capability. Upon receiving the re-negotiation request from the secondary node, it is up to the master node to make the final decision</w:t>
            </w:r>
            <w:r w:rsidRPr="00724684">
              <w:rPr>
                <w:lang w:val="en-US" w:eastAsia="ja-JP"/>
              </w:rPr>
              <w:t>.</w:t>
            </w:r>
          </w:p>
        </w:tc>
      </w:tr>
    </w:tbl>
    <w:p w14:paraId="58A49C99" w14:textId="77777777" w:rsidR="005670FB" w:rsidRDefault="005670FB" w:rsidP="001B49C9"/>
    <w:p w14:paraId="792D1034" w14:textId="77777777" w:rsidR="005670FB" w:rsidRDefault="005670FB" w:rsidP="005670FB">
      <w:pPr>
        <w:pStyle w:val="B1"/>
        <w:rPr>
          <w:lang w:val="en-US" w:eastAsia="ja-JP"/>
        </w:rPr>
      </w:pPr>
      <w:r>
        <w:rPr>
          <w:lang w:val="en-US" w:eastAsia="ja-JP"/>
        </w:rPr>
        <w:t>We shall focus our discussion to the sharing and coordination of the following capabilities:</w:t>
      </w:r>
    </w:p>
    <w:p w14:paraId="50D393D3" w14:textId="77777777" w:rsidR="005670FB" w:rsidRDefault="005670FB" w:rsidP="005670FB">
      <w:pPr>
        <w:pStyle w:val="B1"/>
        <w:rPr>
          <w:lang w:val="en-US" w:eastAsia="ja-JP"/>
        </w:rPr>
      </w:pPr>
      <w:r>
        <w:rPr>
          <w:lang w:val="en-US" w:eastAsia="ja-JP"/>
        </w:rPr>
        <w:t>-</w:t>
      </w:r>
      <w:r>
        <w:rPr>
          <w:lang w:val="en-US" w:eastAsia="ja-JP"/>
        </w:rPr>
        <w:tab/>
        <w:t>Band combinations across RATs</w:t>
      </w:r>
    </w:p>
    <w:p w14:paraId="5FDAE615" w14:textId="77777777" w:rsidR="005670FB" w:rsidRDefault="005670FB" w:rsidP="005670FB">
      <w:pPr>
        <w:ind w:firstLine="284"/>
        <w:rPr>
          <w:lang w:val="en-US" w:eastAsia="ja-JP"/>
        </w:rPr>
      </w:pPr>
      <w:r>
        <w:rPr>
          <w:lang w:val="en-US" w:eastAsia="ja-JP"/>
        </w:rPr>
        <w:t>-</w:t>
      </w:r>
      <w:r>
        <w:rPr>
          <w:lang w:val="en-US" w:eastAsia="ja-JP"/>
        </w:rPr>
        <w:tab/>
        <w:t>Layer-2 buffer</w:t>
      </w:r>
    </w:p>
    <w:p w14:paraId="6BB9AB10" w14:textId="77777777" w:rsidR="005670FB" w:rsidRDefault="005670FB" w:rsidP="005670FB">
      <w:pPr>
        <w:ind w:firstLine="284"/>
      </w:pPr>
      <w:r>
        <w:rPr>
          <w:lang w:val="en-US" w:eastAsia="ja-JP"/>
        </w:rPr>
        <w:t>-</w:t>
      </w:r>
      <w:r>
        <w:rPr>
          <w:lang w:val="en-US" w:eastAsia="ja-JP"/>
        </w:rPr>
        <w:tab/>
        <w:t>UL transmit power</w:t>
      </w:r>
    </w:p>
    <w:p w14:paraId="4CE4732E" w14:textId="77777777" w:rsidR="00CD4C7B" w:rsidRPr="006E13D1" w:rsidRDefault="00006623" w:rsidP="00CD4C7B">
      <w:pPr>
        <w:pStyle w:val="Heading1"/>
      </w:pPr>
      <w:r>
        <w:t>3</w:t>
      </w:r>
      <w:r w:rsidR="00CD4C7B" w:rsidRPr="006E13D1">
        <w:tab/>
      </w:r>
      <w:r w:rsidR="00471011" w:rsidRPr="00471011">
        <w:t>UE capability structure for LTE/NR DC</w:t>
      </w:r>
    </w:p>
    <w:p w14:paraId="73239AFA" w14:textId="77777777" w:rsidR="00471011" w:rsidRDefault="00471011" w:rsidP="00471011">
      <w:r>
        <w:t>We deal with the FFS listed in the introduction first,</w:t>
      </w:r>
    </w:p>
    <w:p w14:paraId="37FD5EE8" w14:textId="77777777" w:rsidR="00471011" w:rsidRDefault="00471011" w:rsidP="00471011">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LTE/NR DC specific capabilities requiring coordination between eNB and gNB are included in NR-Capability or LTE Capability or a new LTE/NR-Capability container.</w:t>
      </w:r>
    </w:p>
    <w:p w14:paraId="34AD9959" w14:textId="77777777" w:rsidR="00471011" w:rsidRDefault="00471011" w:rsidP="00471011">
      <w:r>
        <w:t>The UE capability may be broadly categorized into the following sub-groups:</w:t>
      </w:r>
    </w:p>
    <w:p w14:paraId="02E0AD59" w14:textId="77777777" w:rsidR="00471011" w:rsidRDefault="00471011" w:rsidP="00471011">
      <w:pPr>
        <w:pStyle w:val="ListParagraph"/>
        <w:numPr>
          <w:ilvl w:val="0"/>
          <w:numId w:val="6"/>
        </w:numPr>
      </w:pPr>
      <w:r>
        <w:t>RF capabilities (</w:t>
      </w:r>
      <w:r w:rsidRPr="00A71440">
        <w:t xml:space="preserve">Band combinations </w:t>
      </w:r>
      <w:r>
        <w:t>and capabilities that are per band combination)</w:t>
      </w:r>
    </w:p>
    <w:p w14:paraId="0066E3C9" w14:textId="77777777" w:rsidR="00471011" w:rsidRDefault="00471011" w:rsidP="00471011">
      <w:pPr>
        <w:pStyle w:val="ListParagraph"/>
        <w:numPr>
          <w:ilvl w:val="0"/>
          <w:numId w:val="6"/>
        </w:numPr>
      </w:pPr>
      <w:r>
        <w:t>PHY capabilities</w:t>
      </w:r>
      <w:r w:rsidRPr="008A718F">
        <w:t xml:space="preserve"> </w:t>
      </w:r>
      <w:r>
        <w:t>(</w:t>
      </w:r>
      <w:r w:rsidRPr="008A718F">
        <w:t xml:space="preserve">Receiver, MIMO </w:t>
      </w:r>
      <w:r>
        <w:t>and</w:t>
      </w:r>
      <w:r w:rsidRPr="008A718F">
        <w:t xml:space="preserve"> TM capabilities, </w:t>
      </w:r>
      <w:r>
        <w:t xml:space="preserve">feedback, </w:t>
      </w:r>
      <w:r w:rsidRPr="008A718F">
        <w:t>codebooks</w:t>
      </w:r>
      <w:r>
        <w:t xml:space="preserve"> etc.)</w:t>
      </w:r>
    </w:p>
    <w:p w14:paraId="063D4F32" w14:textId="77777777" w:rsidR="00471011" w:rsidRDefault="00471011" w:rsidP="00471011">
      <w:pPr>
        <w:pStyle w:val="ListParagraph"/>
        <w:numPr>
          <w:ilvl w:val="0"/>
          <w:numId w:val="6"/>
        </w:numPr>
      </w:pPr>
      <w:r>
        <w:t>Protocol-specific capabilities (</w:t>
      </w:r>
      <w:r w:rsidRPr="008A718F">
        <w:t>MAC/RLC/PDCP</w:t>
      </w:r>
      <w:r>
        <w:t xml:space="preserve"> based capabilities</w:t>
      </w:r>
      <w:r w:rsidRPr="008A718F">
        <w:t>)</w:t>
      </w:r>
    </w:p>
    <w:p w14:paraId="7913EBF9" w14:textId="77777777" w:rsidR="00471011" w:rsidRDefault="00471011" w:rsidP="00471011">
      <w:pPr>
        <w:pStyle w:val="ListParagraph"/>
        <w:numPr>
          <w:ilvl w:val="0"/>
          <w:numId w:val="6"/>
        </w:numPr>
      </w:pPr>
      <w:r>
        <w:t>Measurement specific capabilities</w:t>
      </w:r>
    </w:p>
    <w:p w14:paraId="0C50B5F7" w14:textId="77777777" w:rsidR="00471011" w:rsidRDefault="00471011" w:rsidP="00471011">
      <w:pPr>
        <w:pStyle w:val="ListParagraph"/>
        <w:numPr>
          <w:ilvl w:val="0"/>
          <w:numId w:val="6"/>
        </w:numPr>
      </w:pPr>
      <w:r>
        <w:t>Feature specific capabilities</w:t>
      </w:r>
    </w:p>
    <w:p w14:paraId="0F61894B" w14:textId="77777777" w:rsidR="00471011" w:rsidRDefault="00471011" w:rsidP="00471011">
      <w:pPr>
        <w:pStyle w:val="ListParagraph"/>
        <w:numPr>
          <w:ilvl w:val="0"/>
          <w:numId w:val="6"/>
        </w:numPr>
      </w:pPr>
      <w:r>
        <w:t>UE category indication</w:t>
      </w:r>
    </w:p>
    <w:p w14:paraId="2BDCBD71" w14:textId="77777777" w:rsidR="00471011" w:rsidRDefault="00471011" w:rsidP="00471011">
      <w:pPr>
        <w:pStyle w:val="ListParagraph"/>
        <w:numPr>
          <w:ilvl w:val="0"/>
          <w:numId w:val="6"/>
        </w:numPr>
      </w:pPr>
      <w:r>
        <w:t>Inter-RAT capabilities (e.g. f</w:t>
      </w:r>
      <w:r w:rsidRPr="008A718F">
        <w:t>requency bands supported by inter-RAT</w:t>
      </w:r>
      <w:r>
        <w:t>)</w:t>
      </w:r>
    </w:p>
    <w:p w14:paraId="4E5C5E8F" w14:textId="77777777" w:rsidR="00471011" w:rsidRDefault="00471011" w:rsidP="00471011">
      <w:pPr>
        <w:pStyle w:val="ListParagraph"/>
      </w:pPr>
    </w:p>
    <w:p w14:paraId="48A46ADE" w14:textId="77777777" w:rsidR="00471011" w:rsidRDefault="00471011" w:rsidP="00471011">
      <w:pPr>
        <w:pStyle w:val="ListParagraph"/>
        <w:jc w:val="center"/>
      </w:pPr>
      <w:r w:rsidRPr="00B13B15">
        <w:rPr>
          <w:noProof/>
          <w:lang w:val="en-US"/>
        </w:rPr>
        <w:drawing>
          <wp:inline distT="0" distB="0" distL="0" distR="0" wp14:anchorId="607B4D94" wp14:editId="7AED8F3D">
            <wp:extent cx="5706270" cy="2494280"/>
            <wp:effectExtent l="0" t="0" r="889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3478" cy="2501802"/>
                    </a:xfrm>
                    <a:prstGeom prst="rect">
                      <a:avLst/>
                    </a:prstGeom>
                    <a:noFill/>
                    <a:ln>
                      <a:noFill/>
                    </a:ln>
                  </pic:spPr>
                </pic:pic>
              </a:graphicData>
            </a:graphic>
          </wp:inline>
        </w:drawing>
      </w:r>
    </w:p>
    <w:p w14:paraId="66A49519" w14:textId="77777777" w:rsidR="00471011" w:rsidRPr="006E13D1" w:rsidRDefault="00471011" w:rsidP="00471011">
      <w:pPr>
        <w:pStyle w:val="TF"/>
        <w:ind w:left="720"/>
      </w:pPr>
      <w:r>
        <w:t>Figure 3-1</w:t>
      </w:r>
      <w:r w:rsidRPr="006E13D1">
        <w:t xml:space="preserve">: </w:t>
      </w:r>
      <w:r>
        <w:t>Joint LTE-NR capabilities</w:t>
      </w:r>
    </w:p>
    <w:p w14:paraId="52F8C0BD" w14:textId="77777777" w:rsidR="00471011" w:rsidRDefault="00471011" w:rsidP="00471011">
      <w:r>
        <w:t>A simple illustration of the LTE/NR capabilities is shown in Figure 3-1 which is true for any LTE/NR DC (LTE or NR as the master). The overlap in the picture refer to the shared capabilities between LTE and NR.</w:t>
      </w:r>
    </w:p>
    <w:p w14:paraId="2C06F8A4" w14:textId="77777777" w:rsidR="00156718" w:rsidRDefault="00156718" w:rsidP="00471011"/>
    <w:p w14:paraId="227D6739" w14:textId="77777777" w:rsidR="00471011" w:rsidRDefault="00471011" w:rsidP="00471011">
      <w:pPr>
        <w:jc w:val="center"/>
      </w:pPr>
      <w:r w:rsidRPr="009E0E5A">
        <w:rPr>
          <w:noProof/>
          <w:lang w:val="en-US"/>
        </w:rPr>
        <w:lastRenderedPageBreak/>
        <w:drawing>
          <wp:inline distT="0" distB="0" distL="0" distR="0" wp14:anchorId="6955E086" wp14:editId="201AB6CC">
            <wp:extent cx="4728308" cy="250045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2856" cy="2508150"/>
                    </a:xfrm>
                    <a:prstGeom prst="rect">
                      <a:avLst/>
                    </a:prstGeom>
                    <a:noFill/>
                    <a:ln>
                      <a:noFill/>
                    </a:ln>
                  </pic:spPr>
                </pic:pic>
              </a:graphicData>
            </a:graphic>
          </wp:inline>
        </w:drawing>
      </w:r>
    </w:p>
    <w:p w14:paraId="3FEDBFA9" w14:textId="08D20D5A" w:rsidR="00471011" w:rsidRPr="00B13B15" w:rsidRDefault="00471011" w:rsidP="00471011">
      <w:pPr>
        <w:jc w:val="center"/>
        <w:rPr>
          <w:rFonts w:ascii="Arial" w:hAnsi="Arial"/>
          <w:b/>
        </w:rPr>
      </w:pPr>
      <w:r>
        <w:rPr>
          <w:rFonts w:ascii="Arial" w:hAnsi="Arial"/>
          <w:b/>
        </w:rPr>
        <w:t>Figure 3-2</w:t>
      </w:r>
      <w:r w:rsidRPr="00B13B15">
        <w:rPr>
          <w:rFonts w:ascii="Arial" w:hAnsi="Arial"/>
          <w:b/>
        </w:rPr>
        <w:t xml:space="preserve">: </w:t>
      </w:r>
      <w:r w:rsidR="00883027">
        <w:rPr>
          <w:rFonts w:ascii="Arial" w:hAnsi="Arial"/>
          <w:b/>
        </w:rPr>
        <w:t>Joint LTE/NR DC capability synthesized from s</w:t>
      </w:r>
      <w:r>
        <w:rPr>
          <w:rFonts w:ascii="Arial" w:hAnsi="Arial"/>
          <w:b/>
        </w:rPr>
        <w:t>eparate per-RAT capabilities</w:t>
      </w:r>
    </w:p>
    <w:p w14:paraId="1EDE9AF3" w14:textId="77777777" w:rsidR="00471011" w:rsidRDefault="00471011" w:rsidP="00471011">
      <w:r>
        <w:t>In Figure 3-2, a per RAT view of the DC capabilities are shown in a manner that is easy to perceive. The joint LTE-NR capabilities at least contain the following parts:</w:t>
      </w:r>
    </w:p>
    <w:p w14:paraId="5CEB2CF9" w14:textId="77777777" w:rsidR="00471011" w:rsidRDefault="00471011" w:rsidP="00471011">
      <w:pPr>
        <w:pStyle w:val="ListParagraph"/>
        <w:numPr>
          <w:ilvl w:val="0"/>
          <w:numId w:val="6"/>
        </w:numPr>
      </w:pPr>
      <w:r>
        <w:t>LTE L1/L2 restrictions for LTE/NR DC</w:t>
      </w:r>
    </w:p>
    <w:p w14:paraId="45293E59" w14:textId="77777777" w:rsidR="00471011" w:rsidRDefault="00471011" w:rsidP="00471011">
      <w:pPr>
        <w:pStyle w:val="ListParagraph"/>
        <w:numPr>
          <w:ilvl w:val="0"/>
          <w:numId w:val="6"/>
        </w:numPr>
      </w:pPr>
      <w:r>
        <w:t>Subset of LTE band combinations that will be allowed for LTE/NR DC</w:t>
      </w:r>
    </w:p>
    <w:p w14:paraId="5A49B9C4" w14:textId="77777777" w:rsidR="00471011" w:rsidRDefault="00471011" w:rsidP="00471011">
      <w:pPr>
        <w:pStyle w:val="ListParagraph"/>
        <w:numPr>
          <w:ilvl w:val="0"/>
          <w:numId w:val="6"/>
        </w:numPr>
      </w:pPr>
      <w:r>
        <w:t>NR L1/L2 restrictions for LTE/NR DC</w:t>
      </w:r>
    </w:p>
    <w:p w14:paraId="59688173" w14:textId="77777777" w:rsidR="00471011" w:rsidRDefault="00471011" w:rsidP="00471011">
      <w:pPr>
        <w:pStyle w:val="ListParagraph"/>
        <w:numPr>
          <w:ilvl w:val="0"/>
          <w:numId w:val="6"/>
        </w:numPr>
      </w:pPr>
      <w:r>
        <w:t>Subset of NR band combinations that will be allowed for LTE/NR DC</w:t>
      </w:r>
    </w:p>
    <w:p w14:paraId="193AEC2D" w14:textId="77777777" w:rsidR="00471011" w:rsidRDefault="00471011" w:rsidP="00471011">
      <w:pPr>
        <w:pStyle w:val="ListParagraph"/>
        <w:numPr>
          <w:ilvl w:val="0"/>
          <w:numId w:val="6"/>
        </w:numPr>
      </w:pPr>
      <w:r>
        <w:t>Joint restrictions across both the LTE and NR</w:t>
      </w:r>
    </w:p>
    <w:p w14:paraId="04833432" w14:textId="77777777" w:rsidR="00471011" w:rsidRDefault="00471011" w:rsidP="00471011">
      <w:pPr>
        <w:rPr>
          <w:b/>
        </w:rPr>
      </w:pPr>
      <w:r w:rsidRPr="00A802DF">
        <w:rPr>
          <w:b/>
        </w:rPr>
        <w:t>Observation 1:</w:t>
      </w:r>
      <w:r>
        <w:rPr>
          <w:b/>
        </w:rPr>
        <w:t xml:space="preserve"> There are 2 options for capability structuring; </w:t>
      </w:r>
    </w:p>
    <w:p w14:paraId="38761E55" w14:textId="77777777" w:rsidR="00471011" w:rsidRDefault="00471011" w:rsidP="00471011">
      <w:pPr>
        <w:ind w:left="1136"/>
        <w:rPr>
          <w:b/>
        </w:rPr>
      </w:pPr>
      <w:r>
        <w:rPr>
          <w:b/>
        </w:rPr>
        <w:t>- Option 1: Separate container approach - joint signalling</w:t>
      </w:r>
    </w:p>
    <w:p w14:paraId="26767740" w14:textId="77777777" w:rsidR="00471011" w:rsidRDefault="00471011" w:rsidP="00471011">
      <w:pPr>
        <w:ind w:left="1136"/>
        <w:rPr>
          <w:b/>
        </w:rPr>
      </w:pPr>
      <w:r>
        <w:rPr>
          <w:b/>
        </w:rPr>
        <w:t>- Option 2: Tagging approach - no extra container, distributed signalling</w:t>
      </w:r>
    </w:p>
    <w:tbl>
      <w:tblPr>
        <w:tblStyle w:val="TableGrid"/>
        <w:tblW w:w="0" w:type="auto"/>
        <w:tblLook w:val="04A0" w:firstRow="1" w:lastRow="0" w:firstColumn="1" w:lastColumn="0" w:noHBand="0" w:noVBand="1"/>
      </w:tblPr>
      <w:tblGrid>
        <w:gridCol w:w="2122"/>
        <w:gridCol w:w="4298"/>
        <w:gridCol w:w="3211"/>
      </w:tblGrid>
      <w:tr w:rsidR="00471011" w14:paraId="05D4019C" w14:textId="77777777" w:rsidTr="00746599">
        <w:tc>
          <w:tcPr>
            <w:tcW w:w="2122" w:type="dxa"/>
          </w:tcPr>
          <w:p w14:paraId="1E03D50A" w14:textId="77777777" w:rsidR="00471011" w:rsidRDefault="00471011" w:rsidP="00746599">
            <w:pPr>
              <w:jc w:val="center"/>
              <w:rPr>
                <w:b/>
              </w:rPr>
            </w:pPr>
            <w:r>
              <w:rPr>
                <w:b/>
              </w:rPr>
              <w:t>Option</w:t>
            </w:r>
          </w:p>
        </w:tc>
        <w:tc>
          <w:tcPr>
            <w:tcW w:w="4298" w:type="dxa"/>
          </w:tcPr>
          <w:p w14:paraId="1410AF03" w14:textId="77777777" w:rsidR="00471011" w:rsidRDefault="00471011" w:rsidP="00746599">
            <w:pPr>
              <w:jc w:val="center"/>
              <w:rPr>
                <w:b/>
              </w:rPr>
            </w:pPr>
            <w:r>
              <w:rPr>
                <w:b/>
              </w:rPr>
              <w:t>Pros</w:t>
            </w:r>
          </w:p>
        </w:tc>
        <w:tc>
          <w:tcPr>
            <w:tcW w:w="3211" w:type="dxa"/>
          </w:tcPr>
          <w:p w14:paraId="5F16B96A" w14:textId="77777777" w:rsidR="00471011" w:rsidRDefault="00471011" w:rsidP="00746599">
            <w:pPr>
              <w:jc w:val="center"/>
              <w:rPr>
                <w:b/>
              </w:rPr>
            </w:pPr>
            <w:r>
              <w:rPr>
                <w:b/>
              </w:rPr>
              <w:t>Cons</w:t>
            </w:r>
          </w:p>
        </w:tc>
      </w:tr>
      <w:tr w:rsidR="00471011" w14:paraId="1571CB88" w14:textId="77777777" w:rsidTr="00746599">
        <w:tc>
          <w:tcPr>
            <w:tcW w:w="2122" w:type="dxa"/>
          </w:tcPr>
          <w:p w14:paraId="314E78F1" w14:textId="77777777" w:rsidR="00471011" w:rsidRDefault="00471011" w:rsidP="00746599">
            <w:pPr>
              <w:jc w:val="center"/>
              <w:rPr>
                <w:b/>
              </w:rPr>
            </w:pPr>
            <w:r>
              <w:rPr>
                <w:b/>
              </w:rPr>
              <w:t>Separate container approach</w:t>
            </w:r>
          </w:p>
        </w:tc>
        <w:tc>
          <w:tcPr>
            <w:tcW w:w="4298" w:type="dxa"/>
          </w:tcPr>
          <w:p w14:paraId="2A828307" w14:textId="77777777" w:rsidR="00471011" w:rsidRDefault="00471011" w:rsidP="00746599">
            <w:r w:rsidRPr="0060627B">
              <w:t xml:space="preserve">(+) </w:t>
            </w:r>
            <w:r>
              <w:t>Information is collected at one place and easy to maintain and possibility to extend.</w:t>
            </w:r>
          </w:p>
          <w:p w14:paraId="6BE97656" w14:textId="77777777" w:rsidR="00471011" w:rsidRPr="0060627B" w:rsidRDefault="00471011" w:rsidP="00746599">
            <w:r>
              <w:t>(+) Container is sent by UE upon request (based on LTE).</w:t>
            </w:r>
          </w:p>
        </w:tc>
        <w:tc>
          <w:tcPr>
            <w:tcW w:w="3211" w:type="dxa"/>
          </w:tcPr>
          <w:p w14:paraId="766DB66D" w14:textId="77777777" w:rsidR="00471011" w:rsidRDefault="00471011" w:rsidP="00746599">
            <w:r w:rsidRPr="0060627B">
              <w:t>(-)</w:t>
            </w:r>
            <w:r>
              <w:t xml:space="preserve"> Repetition of information, quickly grows in size.</w:t>
            </w:r>
          </w:p>
          <w:p w14:paraId="69FC7718" w14:textId="77777777" w:rsidR="00471011" w:rsidRPr="0060627B" w:rsidRDefault="00471011" w:rsidP="00746599">
            <w:r>
              <w:t>(-) Each RAT needs to have the ability to comprehend the full container and its modifications every release.</w:t>
            </w:r>
          </w:p>
        </w:tc>
      </w:tr>
      <w:tr w:rsidR="00471011" w14:paraId="16172645" w14:textId="77777777" w:rsidTr="00746599">
        <w:tc>
          <w:tcPr>
            <w:tcW w:w="2122" w:type="dxa"/>
          </w:tcPr>
          <w:p w14:paraId="4999E4E4" w14:textId="77777777" w:rsidR="00471011" w:rsidRDefault="00471011" w:rsidP="00746599">
            <w:pPr>
              <w:jc w:val="center"/>
              <w:rPr>
                <w:b/>
              </w:rPr>
            </w:pPr>
            <w:r>
              <w:rPr>
                <w:b/>
              </w:rPr>
              <w:t>Tagging approach</w:t>
            </w:r>
          </w:p>
        </w:tc>
        <w:tc>
          <w:tcPr>
            <w:tcW w:w="4298" w:type="dxa"/>
          </w:tcPr>
          <w:p w14:paraId="2FEED96B" w14:textId="77777777" w:rsidR="00471011" w:rsidRDefault="00471011" w:rsidP="00746599">
            <w:r w:rsidRPr="0060627B">
              <w:t>(+)</w:t>
            </w:r>
            <w:r>
              <w:t xml:space="preserve"> Tagging allows capabilities to remain within respective RAT but allows clear linking.</w:t>
            </w:r>
          </w:p>
          <w:p w14:paraId="7917A87F" w14:textId="77777777" w:rsidR="00471011" w:rsidRDefault="00471011" w:rsidP="00746599">
            <w:r>
              <w:t>(+) Tagging also allows new attributes to be linked to capabilities (e.g. information that assists a RAT to help in making a choice of a particular configuration combination).</w:t>
            </w:r>
          </w:p>
          <w:p w14:paraId="1BA80D0B" w14:textId="77777777" w:rsidR="00471011" w:rsidRDefault="00471011" w:rsidP="00746599">
            <w:r>
              <w:t>(+) Capability reporting structure size is much smaller due to tagging.</w:t>
            </w:r>
          </w:p>
          <w:p w14:paraId="1909310C" w14:textId="7D56DD41" w:rsidR="00471011" w:rsidRPr="0060627B" w:rsidRDefault="00471011" w:rsidP="00746599">
            <w:r>
              <w:t xml:space="preserve">(+) A size optimized version for </w:t>
            </w:r>
            <w:r w:rsidR="007D2F85">
              <w:t>LTE ,</w:t>
            </w:r>
            <w:r>
              <w:t xml:space="preserve"> more capability information in NR (to optimize size within LTE). </w:t>
            </w:r>
          </w:p>
        </w:tc>
        <w:tc>
          <w:tcPr>
            <w:tcW w:w="3211" w:type="dxa"/>
          </w:tcPr>
          <w:p w14:paraId="10AB48DE" w14:textId="77777777" w:rsidR="00471011" w:rsidRPr="0060627B" w:rsidRDefault="00471011" w:rsidP="00746599">
            <w:r w:rsidRPr="0060627B">
              <w:t>(</w:t>
            </w:r>
            <w:r>
              <w:t>-</w:t>
            </w:r>
            <w:r w:rsidRPr="0060627B">
              <w:t>)</w:t>
            </w:r>
            <w:r>
              <w:t xml:space="preserve"> Information is spread out.</w:t>
            </w:r>
          </w:p>
        </w:tc>
      </w:tr>
    </w:tbl>
    <w:p w14:paraId="0928F10B" w14:textId="77777777" w:rsidR="00471011" w:rsidRDefault="00471011" w:rsidP="00471011">
      <w:pPr>
        <w:rPr>
          <w:b/>
        </w:rPr>
      </w:pPr>
    </w:p>
    <w:p w14:paraId="02B3F0BE" w14:textId="77777777" w:rsidR="00471011" w:rsidRDefault="00471011" w:rsidP="00471011">
      <w:pPr>
        <w:rPr>
          <w:b/>
        </w:rPr>
      </w:pPr>
      <w:r>
        <w:rPr>
          <w:b/>
        </w:rPr>
        <w:t>Observation 2: The approach of tagging capabilites (for band combinations) allows capability details to remain within the RAT while allowing clear linking.</w:t>
      </w:r>
    </w:p>
    <w:p w14:paraId="4C274FE9" w14:textId="08730339" w:rsidR="00471011" w:rsidRDefault="00471011" w:rsidP="00471011">
      <w:pPr>
        <w:rPr>
          <w:b/>
        </w:rPr>
      </w:pPr>
      <w:r>
        <w:rPr>
          <w:b/>
        </w:rPr>
        <w:lastRenderedPageBreak/>
        <w:t>Observation 3: Some duplication in signalling is needed in both options:</w:t>
      </w:r>
    </w:p>
    <w:p w14:paraId="1B3181E7" w14:textId="77777777" w:rsidR="00471011" w:rsidRPr="003E4048" w:rsidRDefault="00471011" w:rsidP="00471011">
      <w:pPr>
        <w:pStyle w:val="ListParagraph"/>
        <w:numPr>
          <w:ilvl w:val="0"/>
          <w:numId w:val="6"/>
        </w:numPr>
        <w:rPr>
          <w:b/>
        </w:rPr>
      </w:pPr>
      <w:r>
        <w:rPr>
          <w:b/>
        </w:rPr>
        <w:t>For Option 1, t</w:t>
      </w:r>
      <w:r w:rsidRPr="003E4048">
        <w:rPr>
          <w:b/>
        </w:rPr>
        <w:t xml:space="preserve">he </w:t>
      </w:r>
      <w:r>
        <w:rPr>
          <w:b/>
        </w:rPr>
        <w:t>information</w:t>
      </w:r>
      <w:r w:rsidRPr="003E4048">
        <w:rPr>
          <w:b/>
        </w:rPr>
        <w:t xml:space="preserve"> would have to be duplicated </w:t>
      </w:r>
      <w:r>
        <w:rPr>
          <w:b/>
        </w:rPr>
        <w:t>leading to l</w:t>
      </w:r>
      <w:r w:rsidRPr="003E4048">
        <w:rPr>
          <w:b/>
        </w:rPr>
        <w:t>arge amount of signalling</w:t>
      </w:r>
      <w:r>
        <w:rPr>
          <w:b/>
        </w:rPr>
        <w:t xml:space="preserve"> and clear size increase.</w:t>
      </w:r>
    </w:p>
    <w:p w14:paraId="555146BF" w14:textId="77777777" w:rsidR="00471011" w:rsidRDefault="00471011" w:rsidP="00471011">
      <w:pPr>
        <w:pStyle w:val="ListParagraph"/>
        <w:numPr>
          <w:ilvl w:val="0"/>
          <w:numId w:val="6"/>
        </w:numPr>
        <w:rPr>
          <w:b/>
        </w:rPr>
      </w:pPr>
      <w:r>
        <w:rPr>
          <w:b/>
        </w:rPr>
        <w:t>For Option 2, f</w:t>
      </w:r>
      <w:r w:rsidRPr="003E4048">
        <w:rPr>
          <w:b/>
        </w:rPr>
        <w:t xml:space="preserve">or independent LTE &amp; NR containers, duplication is required for linking the </w:t>
      </w:r>
      <w:r>
        <w:rPr>
          <w:b/>
        </w:rPr>
        <w:t xml:space="preserve">information together as well as LTE/NR </w:t>
      </w:r>
      <w:r w:rsidRPr="003E4048">
        <w:rPr>
          <w:b/>
        </w:rPr>
        <w:t>specific restrictions for each combination.</w:t>
      </w:r>
    </w:p>
    <w:p w14:paraId="2A13E056" w14:textId="053CA16E" w:rsidR="00AA376F" w:rsidRDefault="00471011" w:rsidP="00471011">
      <w:pPr>
        <w:rPr>
          <w:b/>
        </w:rPr>
      </w:pPr>
      <w:r>
        <w:rPr>
          <w:b/>
        </w:rPr>
        <w:t>Observation 4: E</w:t>
      </w:r>
      <w:r w:rsidRPr="00B94581">
        <w:rPr>
          <w:b/>
        </w:rPr>
        <w:t>mbedding the LTE/NR DC capabilities within the LTE and NR capabilities seems more promising</w:t>
      </w:r>
      <w:r>
        <w:rPr>
          <w:b/>
        </w:rPr>
        <w:t>.</w:t>
      </w:r>
    </w:p>
    <w:p w14:paraId="0209ABB1" w14:textId="77777777" w:rsidR="00AA376F" w:rsidRDefault="00AA376F">
      <w:pPr>
        <w:spacing w:after="0"/>
        <w:rPr>
          <w:b/>
        </w:rPr>
      </w:pPr>
      <w:r>
        <w:rPr>
          <w:b/>
        </w:rPr>
        <w:br w:type="page"/>
      </w:r>
    </w:p>
    <w:p w14:paraId="0514ACFA" w14:textId="77777777" w:rsidR="00471011" w:rsidRDefault="00471011" w:rsidP="00471011">
      <w:pPr>
        <w:rPr>
          <w:b/>
        </w:rPr>
      </w:pPr>
    </w:p>
    <w:p w14:paraId="0F0F051B" w14:textId="77777777" w:rsidR="00C276F1" w:rsidRPr="006E13D1" w:rsidRDefault="00C276F1" w:rsidP="00C276F1">
      <w:pPr>
        <w:pStyle w:val="Heading1"/>
      </w:pPr>
      <w:r>
        <w:t>4</w:t>
      </w:r>
      <w:r w:rsidRPr="006E13D1">
        <w:tab/>
      </w:r>
      <w:r>
        <w:t>Coordination of band-combinations</w:t>
      </w:r>
      <w:r w:rsidR="00FF252E">
        <w:t xml:space="preserve"> in EN-DC</w:t>
      </w:r>
    </w:p>
    <w:p w14:paraId="1FF3E106" w14:textId="77777777" w:rsidR="000E2EBD" w:rsidRDefault="000E2EBD" w:rsidP="000E2EBD">
      <w:pPr>
        <w:pStyle w:val="Doc-text2"/>
        <w:pBdr>
          <w:top w:val="single" w:sz="4" w:space="1" w:color="auto"/>
          <w:left w:val="single" w:sz="4" w:space="4" w:color="auto"/>
          <w:bottom w:val="single" w:sz="4" w:space="1" w:color="auto"/>
          <w:right w:val="single" w:sz="4" w:space="4" w:color="auto"/>
        </w:pBdr>
      </w:pPr>
      <w:r>
        <w:t>Agreements for capability coordination for EN-DC and NG-EN-DC</w:t>
      </w:r>
    </w:p>
    <w:p w14:paraId="6A0C7526" w14:textId="77777777" w:rsidR="000E2EBD" w:rsidRDefault="000E2EBD" w:rsidP="000E2EBD">
      <w:pPr>
        <w:pStyle w:val="Doc-text2"/>
        <w:pBdr>
          <w:top w:val="single" w:sz="4" w:space="1" w:color="auto"/>
          <w:left w:val="single" w:sz="4" w:space="4" w:color="auto"/>
          <w:bottom w:val="single" w:sz="4" w:space="1" w:color="auto"/>
          <w:right w:val="single" w:sz="4" w:space="4" w:color="auto"/>
        </w:pBdr>
      </w:pPr>
      <w:r>
        <w:t>1:</w:t>
      </w:r>
      <w:r>
        <w:tab/>
        <w:t>For each LTE BC in the UE capabilities at least the possible NR frequency bands that can operate with this LTE BC should be visible to the LTE MN.</w:t>
      </w:r>
    </w:p>
    <w:p w14:paraId="76C8F847" w14:textId="77777777" w:rsidR="000E2EBD" w:rsidRDefault="000E2EBD" w:rsidP="00101645">
      <w:pPr>
        <w:pStyle w:val="TF"/>
        <w:jc w:val="left"/>
        <w:rPr>
          <w:rFonts w:ascii="Times New Roman" w:hAnsi="Times New Roman"/>
          <w:b w:val="0"/>
        </w:rPr>
      </w:pPr>
    </w:p>
    <w:p w14:paraId="6B285F59" w14:textId="7AF72810" w:rsidR="00101645" w:rsidRDefault="00101645" w:rsidP="00101645">
      <w:pPr>
        <w:pStyle w:val="TF"/>
        <w:jc w:val="left"/>
        <w:rPr>
          <w:rFonts w:ascii="Times New Roman" w:hAnsi="Times New Roman"/>
          <w:b w:val="0"/>
        </w:rPr>
      </w:pPr>
      <w:r w:rsidRPr="00484555">
        <w:rPr>
          <w:rFonts w:ascii="Times New Roman" w:hAnsi="Times New Roman"/>
          <w:b w:val="0"/>
        </w:rPr>
        <w:t xml:space="preserve">Figure 4-3 describes our view </w:t>
      </w:r>
      <w:r>
        <w:rPr>
          <w:rFonts w:ascii="Times New Roman" w:hAnsi="Times New Roman"/>
          <w:b w:val="0"/>
        </w:rPr>
        <w:t>of how the LTE and NR band combinations may be linked together using an indexing mechanism. An almost exact canonical view is shown in Annexure; the difference in representation is that the arrows linking the capabilities have been replaced by a two-dimensional matrix containing a flag or indicator that tells if a particular LTE band combination is allowed or disallowed with a particular NR band combination. As such, it is possible for each of the nodes implementing either the LTE or NR RAT, which of the band combinations are allowed on the other side without having to interpret the corresponding ASN.1.</w:t>
      </w:r>
    </w:p>
    <w:p w14:paraId="1150AEB4" w14:textId="26ABFC2C" w:rsidR="00CD59B4" w:rsidRDefault="005F555C" w:rsidP="00CD59B4">
      <w:pPr>
        <w:jc w:val="center"/>
        <w:rPr>
          <w:rFonts w:ascii="Arial" w:hAnsi="Arial"/>
          <w:b/>
        </w:rPr>
      </w:pPr>
      <w:r>
        <w:object w:dxaOrig="9239" w:dyaOrig="4770" w14:anchorId="18C830F3">
          <v:shape id="_x0000_i1026" type="#_x0000_t75" style="width:455.15pt;height:234.45pt" o:ole="">
            <v:imagedata r:id="rId14" o:title=""/>
          </v:shape>
          <o:OLEObject Type="Embed" ProgID="Visio.Drawing.11" ShapeID="_x0000_i1026" DrawAspect="Content" ObjectID="_1559204665" r:id="rId15"/>
        </w:object>
      </w:r>
    </w:p>
    <w:p w14:paraId="28B9C0C5" w14:textId="2D3767A5" w:rsidR="00CD59B4" w:rsidRDefault="00AA376F" w:rsidP="00CD59B4">
      <w:pPr>
        <w:jc w:val="center"/>
      </w:pPr>
      <w:r>
        <w:rPr>
          <w:rFonts w:ascii="Arial" w:hAnsi="Arial"/>
          <w:b/>
        </w:rPr>
        <w:t>Figure 4</w:t>
      </w:r>
      <w:r w:rsidR="00CD59B4">
        <w:rPr>
          <w:rFonts w:ascii="Arial" w:hAnsi="Arial"/>
          <w:b/>
        </w:rPr>
        <w:t>-3</w:t>
      </w:r>
      <w:r w:rsidR="00CD59B4" w:rsidRPr="00B13B15">
        <w:rPr>
          <w:rFonts w:ascii="Arial" w:hAnsi="Arial"/>
          <w:b/>
        </w:rPr>
        <w:t xml:space="preserve">: </w:t>
      </w:r>
      <w:r w:rsidR="00CD59B4">
        <w:rPr>
          <w:rFonts w:ascii="Arial" w:hAnsi="Arial"/>
          <w:b/>
        </w:rPr>
        <w:t>Example of capability linking using indices</w:t>
      </w:r>
    </w:p>
    <w:p w14:paraId="4966809F" w14:textId="74A50BA1" w:rsidR="00484555" w:rsidRPr="00484555" w:rsidRDefault="00C0100C" w:rsidP="00471011">
      <w:pPr>
        <w:pStyle w:val="TF"/>
        <w:jc w:val="left"/>
        <w:rPr>
          <w:rFonts w:ascii="Times New Roman" w:hAnsi="Times New Roman"/>
          <w:b w:val="0"/>
        </w:rPr>
      </w:pPr>
      <w:r>
        <w:rPr>
          <w:rFonts w:ascii="Times New Roman" w:hAnsi="Times New Roman"/>
          <w:b w:val="0"/>
        </w:rPr>
        <w:t>It then also makes sense that for a given band combination index in either LTE or NR there must be one or more band-combinations that may be allowed. And at least one of the combinations must be the maximal one (i.e. supporting the maximum configuration across LTE and NR).</w:t>
      </w:r>
    </w:p>
    <w:p w14:paraId="258DA391" w14:textId="4F6A5BBC" w:rsidR="00C0100C" w:rsidRDefault="00471011" w:rsidP="00471011">
      <w:pPr>
        <w:pStyle w:val="TF"/>
        <w:jc w:val="left"/>
        <w:rPr>
          <w:rFonts w:ascii="Times New Roman" w:hAnsi="Times New Roman"/>
        </w:rPr>
      </w:pPr>
      <w:r w:rsidRPr="00006623">
        <w:rPr>
          <w:rFonts w:ascii="Times New Roman" w:hAnsi="Times New Roman"/>
        </w:rPr>
        <w:t xml:space="preserve">Proposal 1: </w:t>
      </w:r>
      <w:r w:rsidR="00C0100C">
        <w:rPr>
          <w:rFonts w:ascii="Times New Roman" w:hAnsi="Times New Roman"/>
        </w:rPr>
        <w:t>LTE and NR allowed band combinations for LTE/NR DC are</w:t>
      </w:r>
      <w:r w:rsidR="00CB2A1C" w:rsidRPr="00006623">
        <w:rPr>
          <w:rFonts w:ascii="Times New Roman" w:hAnsi="Times New Roman"/>
        </w:rPr>
        <w:t xml:space="preserve"> mutually </w:t>
      </w:r>
      <w:r w:rsidRPr="00006623">
        <w:rPr>
          <w:rFonts w:ascii="Times New Roman" w:hAnsi="Times New Roman"/>
        </w:rPr>
        <w:t xml:space="preserve">linked to each other using </w:t>
      </w:r>
      <w:r w:rsidR="00C0100C">
        <w:rPr>
          <w:rFonts w:ascii="Times New Roman" w:hAnsi="Times New Roman"/>
        </w:rPr>
        <w:t xml:space="preserve">allowed band combination </w:t>
      </w:r>
      <w:r w:rsidR="0029618D">
        <w:rPr>
          <w:rFonts w:ascii="Times New Roman" w:hAnsi="Times New Roman"/>
        </w:rPr>
        <w:t>indexes</w:t>
      </w:r>
      <w:r w:rsidR="00C0100C">
        <w:rPr>
          <w:rFonts w:ascii="Times New Roman" w:hAnsi="Times New Roman"/>
        </w:rPr>
        <w:t>.</w:t>
      </w:r>
    </w:p>
    <w:p w14:paraId="1BB1FE51" w14:textId="1FFFE476" w:rsidR="00006623" w:rsidRDefault="00471011" w:rsidP="00471011">
      <w:pPr>
        <w:pStyle w:val="TF"/>
        <w:jc w:val="left"/>
        <w:rPr>
          <w:rFonts w:ascii="Times New Roman" w:hAnsi="Times New Roman"/>
        </w:rPr>
      </w:pPr>
      <w:r w:rsidRPr="00006623">
        <w:rPr>
          <w:rFonts w:ascii="Times New Roman" w:hAnsi="Times New Roman"/>
        </w:rPr>
        <w:t xml:space="preserve">Proposal 2: </w:t>
      </w:r>
      <w:r w:rsidR="00C0100C">
        <w:rPr>
          <w:rFonts w:ascii="Times New Roman" w:hAnsi="Times New Roman"/>
        </w:rPr>
        <w:t xml:space="preserve">LTE/NR DC band combinations are coordinated as follows: </w:t>
      </w:r>
      <w:r w:rsidR="00006623" w:rsidRPr="00006623">
        <w:rPr>
          <w:rFonts w:ascii="Times New Roman" w:hAnsi="Times New Roman"/>
        </w:rPr>
        <w:t>A</w:t>
      </w:r>
      <w:r w:rsidR="00CB2A1C" w:rsidRPr="00006623">
        <w:rPr>
          <w:rFonts w:ascii="Times New Roman" w:hAnsi="Times New Roman"/>
        </w:rPr>
        <w:t xml:space="preserve"> node selects an index by interpreting its own capability and informs the </w:t>
      </w:r>
      <w:r w:rsidR="00006623" w:rsidRPr="00006623">
        <w:rPr>
          <w:rFonts w:ascii="Times New Roman" w:hAnsi="Times New Roman"/>
        </w:rPr>
        <w:t>other node of this index. The other node is then able to find out which are the allow</w:t>
      </w:r>
      <w:r w:rsidR="00EC3E90">
        <w:rPr>
          <w:rFonts w:ascii="Times New Roman" w:hAnsi="Times New Roman"/>
        </w:rPr>
        <w:t>ed combinations with this index</w:t>
      </w:r>
      <w:r w:rsidR="00006623">
        <w:rPr>
          <w:rFonts w:ascii="Times New Roman" w:hAnsi="Times New Roman"/>
        </w:rPr>
        <w:t xml:space="preserve"> </w:t>
      </w:r>
      <w:r w:rsidR="00006623" w:rsidRPr="00006623">
        <w:rPr>
          <w:rFonts w:ascii="Times New Roman" w:hAnsi="Times New Roman"/>
        </w:rPr>
        <w:t>by interpreting its own capability</w:t>
      </w:r>
      <w:r w:rsidR="00006623">
        <w:rPr>
          <w:rFonts w:ascii="Times New Roman" w:hAnsi="Times New Roman"/>
        </w:rPr>
        <w:t>.</w:t>
      </w:r>
    </w:p>
    <w:p w14:paraId="16761F74" w14:textId="7AC4D260" w:rsidR="00006623" w:rsidRDefault="00006623" w:rsidP="00471011">
      <w:pPr>
        <w:pStyle w:val="TF"/>
        <w:jc w:val="left"/>
        <w:rPr>
          <w:rFonts w:ascii="Times New Roman" w:hAnsi="Times New Roman"/>
          <w:b w:val="0"/>
        </w:rPr>
      </w:pPr>
      <w:r w:rsidRPr="00006623">
        <w:rPr>
          <w:rFonts w:ascii="Times New Roman" w:hAnsi="Times New Roman"/>
          <w:b w:val="0"/>
        </w:rPr>
        <w:t xml:space="preserve">With this approach, neither node needs to interpret the </w:t>
      </w:r>
      <w:r w:rsidR="00C0100C">
        <w:rPr>
          <w:rFonts w:ascii="Times New Roman" w:hAnsi="Times New Roman"/>
          <w:b w:val="0"/>
        </w:rPr>
        <w:t>band combinations</w:t>
      </w:r>
      <w:r w:rsidRPr="00006623">
        <w:rPr>
          <w:rFonts w:ascii="Times New Roman" w:hAnsi="Times New Roman"/>
          <w:b w:val="0"/>
        </w:rPr>
        <w:t xml:space="preserve"> of the RAT hosted by the other node.</w:t>
      </w:r>
    </w:p>
    <w:p w14:paraId="4CA15731" w14:textId="77777777" w:rsidR="00FF252E" w:rsidRPr="006E13D1" w:rsidRDefault="00E11568" w:rsidP="00FF252E">
      <w:pPr>
        <w:pStyle w:val="Heading1"/>
      </w:pPr>
      <w:r>
        <w:lastRenderedPageBreak/>
        <w:t>5</w:t>
      </w:r>
      <w:r w:rsidR="00FF252E" w:rsidRPr="006E13D1">
        <w:tab/>
      </w:r>
      <w:r w:rsidR="00FF252E">
        <w:t>Coordination of L2 buffer</w:t>
      </w:r>
    </w:p>
    <w:p w14:paraId="1F717841" w14:textId="45BAEBAC" w:rsidR="00224DF4" w:rsidRDefault="00FA4DF5" w:rsidP="00224DF4">
      <w:pPr>
        <w:pStyle w:val="TH"/>
        <w:jc w:val="left"/>
        <w:rPr>
          <w:rFonts w:ascii="Times New Roman" w:hAnsi="Times New Roman"/>
          <w:b w:val="0"/>
        </w:rPr>
      </w:pPr>
      <w:r w:rsidRPr="00FA4DF5">
        <w:rPr>
          <w:rFonts w:ascii="Times New Roman" w:hAnsi="Times New Roman"/>
          <w:b w:val="0"/>
        </w:rPr>
        <w:t xml:space="preserve">In this </w:t>
      </w:r>
      <w:r>
        <w:rPr>
          <w:rFonts w:ascii="Times New Roman" w:hAnsi="Times New Roman"/>
          <w:b w:val="0"/>
        </w:rPr>
        <w:t xml:space="preserve">section, </w:t>
      </w:r>
      <w:r w:rsidR="007E72DB">
        <w:rPr>
          <w:rFonts w:ascii="Times New Roman" w:hAnsi="Times New Roman"/>
          <w:b w:val="0"/>
        </w:rPr>
        <w:t xml:space="preserve">we will discuss </w:t>
      </w:r>
      <w:r w:rsidR="008163D2">
        <w:rPr>
          <w:rFonts w:ascii="Times New Roman" w:hAnsi="Times New Roman"/>
          <w:b w:val="0"/>
        </w:rPr>
        <w:t>some options for coordination of the L2 buffer.</w:t>
      </w:r>
      <w:r w:rsidR="00117492">
        <w:rPr>
          <w:rFonts w:ascii="Times New Roman" w:hAnsi="Times New Roman"/>
          <w:b w:val="0"/>
        </w:rPr>
        <w:t xml:space="preserve"> The following table is based on [3]</w:t>
      </w:r>
      <w:r w:rsidR="00136B13">
        <w:rPr>
          <w:rFonts w:ascii="Times New Roman" w:hAnsi="Times New Roman"/>
          <w:b w:val="0"/>
        </w:rPr>
        <w:t xml:space="preserve"> where the DL/UL capabilities linked to the maximum number of DL/UL-SCH are listed.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8163D2" w:rsidRPr="00F66BE5" w14:paraId="185F47A6" w14:textId="77777777" w:rsidTr="00E82507">
        <w:tc>
          <w:tcPr>
            <w:tcW w:w="1668" w:type="dxa"/>
          </w:tcPr>
          <w:p w14:paraId="33787B0D" w14:textId="77777777" w:rsidR="008163D2" w:rsidRPr="00F66BE5" w:rsidRDefault="008163D2" w:rsidP="00E82507">
            <w:pPr>
              <w:pStyle w:val="TAH"/>
            </w:pPr>
            <w:r w:rsidRPr="00F66BE5">
              <w:t>UE Category</w:t>
            </w:r>
          </w:p>
        </w:tc>
        <w:tc>
          <w:tcPr>
            <w:tcW w:w="2126" w:type="dxa"/>
          </w:tcPr>
          <w:p w14:paraId="301576C4" w14:textId="7637B2A3" w:rsidR="008163D2" w:rsidRPr="00F66BE5" w:rsidRDefault="008163D2" w:rsidP="00E82507">
            <w:pPr>
              <w:pStyle w:val="TAH"/>
            </w:pPr>
            <w:r w:rsidRPr="00F66BE5">
              <w:t xml:space="preserve">Maximum number of </w:t>
            </w:r>
            <w:r w:rsidR="006E48F8">
              <w:t xml:space="preserve">LTE </w:t>
            </w:r>
            <w:r w:rsidRPr="00F66BE5">
              <w:t>DL-SCH transport block bits received within a TTI</w:t>
            </w:r>
          </w:p>
        </w:tc>
        <w:tc>
          <w:tcPr>
            <w:tcW w:w="1843" w:type="dxa"/>
          </w:tcPr>
          <w:p w14:paraId="427A1D43" w14:textId="57928DE4" w:rsidR="008163D2" w:rsidRPr="00F66BE5" w:rsidRDefault="008163D2" w:rsidP="00E82507">
            <w:pPr>
              <w:pStyle w:val="TAH"/>
            </w:pPr>
            <w:r w:rsidRPr="00F66BE5">
              <w:t xml:space="preserve">Maximum number of </w:t>
            </w:r>
            <w:r w:rsidR="006E48F8">
              <w:t xml:space="preserve">NR </w:t>
            </w:r>
            <w:r w:rsidRPr="00F66BE5">
              <w:t xml:space="preserve">DL-SCH transport block </w:t>
            </w:r>
            <w:r w:rsidR="006E48F8">
              <w:t xml:space="preserve">bits </w:t>
            </w:r>
            <w:r w:rsidRPr="00F66BE5">
              <w:t xml:space="preserve">received within a </w:t>
            </w:r>
            <w:r w:rsidR="006E48F8">
              <w:t xml:space="preserve">NR </w:t>
            </w:r>
            <w:r w:rsidRPr="00F66BE5">
              <w:t>TTI</w:t>
            </w:r>
          </w:p>
        </w:tc>
        <w:tc>
          <w:tcPr>
            <w:tcW w:w="1701" w:type="dxa"/>
          </w:tcPr>
          <w:p w14:paraId="61C167EF" w14:textId="77777777" w:rsidR="008163D2" w:rsidRPr="00F66BE5" w:rsidRDefault="008163D2" w:rsidP="00E82507">
            <w:pPr>
              <w:pStyle w:val="TAH"/>
            </w:pPr>
            <w:r w:rsidRPr="00F66BE5">
              <w:t>Total number of soft channel bits</w:t>
            </w:r>
          </w:p>
        </w:tc>
        <w:tc>
          <w:tcPr>
            <w:tcW w:w="1842" w:type="dxa"/>
          </w:tcPr>
          <w:p w14:paraId="53BD186F" w14:textId="015C22E0" w:rsidR="008163D2" w:rsidRPr="00F66BE5" w:rsidRDefault="008163D2" w:rsidP="00E82507">
            <w:pPr>
              <w:pStyle w:val="TAH"/>
            </w:pPr>
            <w:r w:rsidRPr="00F66BE5">
              <w:t>Maximum number of supported layers for spatial multiplexin</w:t>
            </w:r>
            <w:r w:rsidR="00BC4748">
              <w:t>g</w:t>
            </w:r>
          </w:p>
        </w:tc>
      </w:tr>
      <w:tr w:rsidR="008163D2" w:rsidRPr="00F66BE5" w14:paraId="7A667401" w14:textId="77777777" w:rsidTr="00E82507">
        <w:tc>
          <w:tcPr>
            <w:tcW w:w="1668" w:type="dxa"/>
          </w:tcPr>
          <w:p w14:paraId="1A4C5F4F" w14:textId="38707629" w:rsidR="008163D2" w:rsidRPr="00F66BE5" w:rsidRDefault="00136B13" w:rsidP="00E82507">
            <w:pPr>
              <w:pStyle w:val="TAL"/>
            </w:pPr>
            <w:r>
              <w:t>Category 1</w:t>
            </w:r>
          </w:p>
        </w:tc>
        <w:tc>
          <w:tcPr>
            <w:tcW w:w="2126" w:type="dxa"/>
          </w:tcPr>
          <w:p w14:paraId="7EF10F6B" w14:textId="758657B0" w:rsidR="008163D2" w:rsidRPr="00F66BE5" w:rsidRDefault="00136B13" w:rsidP="00E82507">
            <w:pPr>
              <w:pStyle w:val="TAL"/>
            </w:pPr>
            <w:r>
              <w:t>X1</w:t>
            </w:r>
          </w:p>
        </w:tc>
        <w:tc>
          <w:tcPr>
            <w:tcW w:w="1843" w:type="dxa"/>
          </w:tcPr>
          <w:p w14:paraId="00E98525" w14:textId="758F0478" w:rsidR="008163D2" w:rsidRPr="00F66BE5" w:rsidRDefault="00136B13" w:rsidP="00E82507">
            <w:pPr>
              <w:pStyle w:val="TAL"/>
            </w:pPr>
            <w:r>
              <w:t>Y1</w:t>
            </w:r>
          </w:p>
        </w:tc>
        <w:tc>
          <w:tcPr>
            <w:tcW w:w="1701" w:type="dxa"/>
          </w:tcPr>
          <w:p w14:paraId="19A586EE" w14:textId="0AAB6CA7" w:rsidR="008163D2" w:rsidRPr="00F66BE5" w:rsidRDefault="00136B13" w:rsidP="00E82507">
            <w:pPr>
              <w:pStyle w:val="TAL"/>
            </w:pPr>
            <w:r>
              <w:t>Z1</w:t>
            </w:r>
          </w:p>
        </w:tc>
        <w:tc>
          <w:tcPr>
            <w:tcW w:w="1842" w:type="dxa"/>
          </w:tcPr>
          <w:p w14:paraId="7E360B8F" w14:textId="12AE222A" w:rsidR="008163D2" w:rsidRPr="00F66BE5" w:rsidRDefault="00136B13" w:rsidP="00E82507">
            <w:pPr>
              <w:pStyle w:val="TAL"/>
            </w:pPr>
            <w:r>
              <w:t>M1</w:t>
            </w:r>
          </w:p>
        </w:tc>
      </w:tr>
      <w:tr w:rsidR="00136B13" w:rsidRPr="00F66BE5" w14:paraId="12EB4AEB" w14:textId="77777777" w:rsidTr="00E82507">
        <w:tc>
          <w:tcPr>
            <w:tcW w:w="1668" w:type="dxa"/>
          </w:tcPr>
          <w:p w14:paraId="477D471E" w14:textId="5DEA78DC" w:rsidR="00136B13" w:rsidRPr="00F66BE5" w:rsidRDefault="00136B13" w:rsidP="00136B13">
            <w:pPr>
              <w:pStyle w:val="TAL"/>
            </w:pPr>
            <w:r>
              <w:t>Category 2</w:t>
            </w:r>
          </w:p>
        </w:tc>
        <w:tc>
          <w:tcPr>
            <w:tcW w:w="2126" w:type="dxa"/>
          </w:tcPr>
          <w:p w14:paraId="2C1E3460" w14:textId="3DDF0482" w:rsidR="00136B13" w:rsidRPr="00F66BE5" w:rsidRDefault="00136B13" w:rsidP="00136B13">
            <w:pPr>
              <w:pStyle w:val="TAL"/>
            </w:pPr>
            <w:r>
              <w:t>X2</w:t>
            </w:r>
          </w:p>
        </w:tc>
        <w:tc>
          <w:tcPr>
            <w:tcW w:w="1843" w:type="dxa"/>
          </w:tcPr>
          <w:p w14:paraId="1DCBFEA0" w14:textId="2FBCB596" w:rsidR="00136B13" w:rsidRPr="00F66BE5" w:rsidRDefault="00136B13" w:rsidP="00136B13">
            <w:pPr>
              <w:pStyle w:val="TAL"/>
            </w:pPr>
            <w:r>
              <w:t>Y2</w:t>
            </w:r>
          </w:p>
        </w:tc>
        <w:tc>
          <w:tcPr>
            <w:tcW w:w="1701" w:type="dxa"/>
          </w:tcPr>
          <w:p w14:paraId="35F3F8FF" w14:textId="13C30BF6" w:rsidR="00136B13" w:rsidRPr="00F66BE5" w:rsidRDefault="00136B13" w:rsidP="00136B13">
            <w:pPr>
              <w:pStyle w:val="TAL"/>
            </w:pPr>
            <w:r>
              <w:t>Z2</w:t>
            </w:r>
          </w:p>
        </w:tc>
        <w:tc>
          <w:tcPr>
            <w:tcW w:w="1842" w:type="dxa"/>
          </w:tcPr>
          <w:p w14:paraId="6BA4234E" w14:textId="3CAEA2F3" w:rsidR="00136B13" w:rsidRPr="00F66BE5" w:rsidRDefault="00136B13" w:rsidP="00136B13">
            <w:pPr>
              <w:pStyle w:val="TAL"/>
            </w:pPr>
            <w:r>
              <w:t>M2</w:t>
            </w:r>
          </w:p>
        </w:tc>
      </w:tr>
      <w:tr w:rsidR="00136B13" w:rsidRPr="00F66BE5" w14:paraId="212442EB" w14:textId="77777777" w:rsidTr="00E82507">
        <w:tc>
          <w:tcPr>
            <w:tcW w:w="1668" w:type="dxa"/>
          </w:tcPr>
          <w:p w14:paraId="4170CD09" w14:textId="0726ABC5" w:rsidR="00136B13" w:rsidRPr="00F66BE5" w:rsidRDefault="00136B13" w:rsidP="00136B13">
            <w:pPr>
              <w:pStyle w:val="TAL"/>
            </w:pPr>
            <w:r>
              <w:t>….</w:t>
            </w:r>
          </w:p>
        </w:tc>
        <w:tc>
          <w:tcPr>
            <w:tcW w:w="2126" w:type="dxa"/>
          </w:tcPr>
          <w:p w14:paraId="1F76B8C6" w14:textId="4BECB53B" w:rsidR="00136B13" w:rsidRPr="00F66BE5" w:rsidRDefault="00BC4748" w:rsidP="00136B13">
            <w:pPr>
              <w:pStyle w:val="TAL"/>
            </w:pPr>
            <w:r>
              <w:t>….</w:t>
            </w:r>
          </w:p>
        </w:tc>
        <w:tc>
          <w:tcPr>
            <w:tcW w:w="1843" w:type="dxa"/>
          </w:tcPr>
          <w:p w14:paraId="289B49FD" w14:textId="292F878D" w:rsidR="00136B13" w:rsidRPr="00F66BE5" w:rsidRDefault="00BC4748" w:rsidP="00136B13">
            <w:pPr>
              <w:pStyle w:val="TAL"/>
            </w:pPr>
            <w:r>
              <w:t>….</w:t>
            </w:r>
          </w:p>
        </w:tc>
        <w:tc>
          <w:tcPr>
            <w:tcW w:w="1701" w:type="dxa"/>
          </w:tcPr>
          <w:p w14:paraId="68724261" w14:textId="3F088CE5" w:rsidR="00136B13" w:rsidRPr="00F66BE5" w:rsidRDefault="00BC4748" w:rsidP="00136B13">
            <w:pPr>
              <w:pStyle w:val="TAL"/>
            </w:pPr>
            <w:r>
              <w:t>….</w:t>
            </w:r>
          </w:p>
        </w:tc>
        <w:tc>
          <w:tcPr>
            <w:tcW w:w="1842" w:type="dxa"/>
          </w:tcPr>
          <w:p w14:paraId="02696A6B" w14:textId="61295872" w:rsidR="00136B13" w:rsidRPr="00F66BE5" w:rsidRDefault="00BC4748" w:rsidP="00136B13">
            <w:pPr>
              <w:pStyle w:val="TAL"/>
            </w:pPr>
            <w:r>
              <w:t>….</w:t>
            </w:r>
          </w:p>
        </w:tc>
      </w:tr>
      <w:tr w:rsidR="00136B13" w:rsidRPr="00F66BE5" w14:paraId="72167EA3" w14:textId="77777777" w:rsidTr="00E82507">
        <w:tc>
          <w:tcPr>
            <w:tcW w:w="1668" w:type="dxa"/>
          </w:tcPr>
          <w:p w14:paraId="0728061F" w14:textId="2DAC4222" w:rsidR="00136B13" w:rsidRPr="00F66BE5" w:rsidRDefault="00136B13" w:rsidP="00136B13">
            <w:pPr>
              <w:pStyle w:val="TAL"/>
            </w:pPr>
            <w:r w:rsidRPr="00F66BE5">
              <w:t xml:space="preserve">Category </w:t>
            </w:r>
            <w:r>
              <w:t>N</w:t>
            </w:r>
          </w:p>
        </w:tc>
        <w:tc>
          <w:tcPr>
            <w:tcW w:w="2126" w:type="dxa"/>
          </w:tcPr>
          <w:p w14:paraId="257F8817" w14:textId="6FF9055C" w:rsidR="00136B13" w:rsidRPr="00F66BE5" w:rsidRDefault="00136B13" w:rsidP="00136B13">
            <w:pPr>
              <w:pStyle w:val="TAL"/>
            </w:pPr>
            <w:r>
              <w:t>Xn</w:t>
            </w:r>
          </w:p>
        </w:tc>
        <w:tc>
          <w:tcPr>
            <w:tcW w:w="1843" w:type="dxa"/>
          </w:tcPr>
          <w:p w14:paraId="28949002" w14:textId="2869A6DA" w:rsidR="00136B13" w:rsidRPr="00F66BE5" w:rsidRDefault="00136B13" w:rsidP="00136B13">
            <w:pPr>
              <w:pStyle w:val="TAL"/>
            </w:pPr>
            <w:r>
              <w:t>Yn</w:t>
            </w:r>
          </w:p>
        </w:tc>
        <w:tc>
          <w:tcPr>
            <w:tcW w:w="1701" w:type="dxa"/>
          </w:tcPr>
          <w:p w14:paraId="6665524C" w14:textId="568C37E6" w:rsidR="00136B13" w:rsidRPr="00F66BE5" w:rsidRDefault="00136B13" w:rsidP="00136B13">
            <w:pPr>
              <w:pStyle w:val="TAL"/>
            </w:pPr>
            <w:r>
              <w:t>Zn</w:t>
            </w:r>
          </w:p>
        </w:tc>
        <w:tc>
          <w:tcPr>
            <w:tcW w:w="1842" w:type="dxa"/>
          </w:tcPr>
          <w:p w14:paraId="581328F1" w14:textId="40EAED44" w:rsidR="00136B13" w:rsidRPr="00F66BE5" w:rsidRDefault="00136B13" w:rsidP="00136B13">
            <w:pPr>
              <w:pStyle w:val="TAL"/>
            </w:pPr>
            <w:r>
              <w:t>Mn</w:t>
            </w:r>
          </w:p>
        </w:tc>
      </w:tr>
    </w:tbl>
    <w:p w14:paraId="71B1683C" w14:textId="7F308C3A" w:rsidR="008163D2" w:rsidRPr="00842BA5" w:rsidRDefault="008163D2" w:rsidP="009168AB">
      <w:pPr>
        <w:pStyle w:val="TH"/>
        <w:rPr>
          <w:rFonts w:ascii="Times New Roman" w:hAnsi="Times New Roman"/>
        </w:rPr>
      </w:pPr>
      <w:r w:rsidRPr="00842BA5">
        <w:rPr>
          <w:rFonts w:ascii="Times New Roman" w:hAnsi="Times New Roman"/>
        </w:rPr>
        <w:t xml:space="preserve">Table 5-1: </w:t>
      </w:r>
      <w:r w:rsidR="009168AB" w:rsidRPr="00842BA5">
        <w:rPr>
          <w:rFonts w:ascii="Times New Roman" w:hAnsi="Times New Roman"/>
        </w:rPr>
        <w:t>(</w:t>
      </w:r>
      <w:r w:rsidRPr="00842BA5">
        <w:rPr>
          <w:rFonts w:ascii="Times New Roman" w:hAnsi="Times New Roman"/>
        </w:rPr>
        <w:t>Source</w:t>
      </w:r>
      <w:r w:rsidR="009168AB" w:rsidRPr="00842BA5">
        <w:rPr>
          <w:rFonts w:ascii="Times New Roman" w:hAnsi="Times New Roman"/>
        </w:rPr>
        <w:t xml:space="preserve"> [3]</w:t>
      </w:r>
      <w:r w:rsidRPr="00842BA5">
        <w:rPr>
          <w:rFonts w:ascii="Times New Roman" w:hAnsi="Times New Roman"/>
        </w:rPr>
        <w:t xml:space="preserve">: </w:t>
      </w:r>
      <w:r w:rsidR="009168AB" w:rsidRPr="00842BA5">
        <w:rPr>
          <w:rFonts w:ascii="Times New Roman" w:hAnsi="Times New Roman"/>
        </w:rPr>
        <w:t xml:space="preserve">DL/UL </w:t>
      </w:r>
      <w:r w:rsidRPr="00842BA5">
        <w:rPr>
          <w:rFonts w:ascii="Times New Roman" w:hAnsi="Times New Roman"/>
        </w:rPr>
        <w:t>physical layer parameter values set by the field ue-Category</w:t>
      </w:r>
      <w:r w:rsidR="009168AB" w:rsidRPr="00842BA5">
        <w:rPr>
          <w:rFonts w:ascii="Times New Roman" w:hAnsi="Times New Roman"/>
        </w:rPr>
        <w:t>)</w:t>
      </w:r>
    </w:p>
    <w:p w14:paraId="16FB667A" w14:textId="0C9A3F88" w:rsidR="009168AB" w:rsidRDefault="009168AB" w:rsidP="00224DF4">
      <w:pPr>
        <w:pStyle w:val="TH"/>
        <w:jc w:val="left"/>
        <w:rPr>
          <w:rFonts w:ascii="Times New Roman" w:hAnsi="Times New Roman"/>
          <w:b w:val="0"/>
        </w:rPr>
      </w:pPr>
      <w:r>
        <w:rPr>
          <w:rFonts w:ascii="Times New Roman" w:hAnsi="Times New Roman"/>
          <w:b w:val="0"/>
        </w:rPr>
        <w:t xml:space="preserve">Similarly, </w:t>
      </w:r>
      <w:r w:rsidR="00BC4748">
        <w:rPr>
          <w:rFonts w:ascii="Times New Roman" w:hAnsi="Times New Roman"/>
          <w:b w:val="0"/>
        </w:rPr>
        <w:t>for the total L2 buffer size, the following table is exemplary.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9168AB" w:rsidRPr="00B476BF" w14:paraId="0DFBF730" w14:textId="77777777" w:rsidTr="00842BA5">
        <w:trPr>
          <w:jc w:val="center"/>
        </w:trPr>
        <w:tc>
          <w:tcPr>
            <w:tcW w:w="1668" w:type="dxa"/>
          </w:tcPr>
          <w:p w14:paraId="45C932FF" w14:textId="77777777" w:rsidR="009168AB" w:rsidRPr="00F66BE5" w:rsidRDefault="009168AB" w:rsidP="00E82507">
            <w:pPr>
              <w:pStyle w:val="TAH"/>
            </w:pPr>
            <w:r w:rsidRPr="00F66BE5">
              <w:t>UE Category</w:t>
            </w:r>
          </w:p>
        </w:tc>
        <w:tc>
          <w:tcPr>
            <w:tcW w:w="2126" w:type="dxa"/>
          </w:tcPr>
          <w:p w14:paraId="52B64258" w14:textId="77777777" w:rsidR="009168AB" w:rsidRPr="00F66BE5" w:rsidRDefault="009168AB" w:rsidP="00E82507">
            <w:pPr>
              <w:pStyle w:val="TAH"/>
            </w:pPr>
            <w:r w:rsidRPr="00F66BE5">
              <w:t>Total layer 2 buffer size [bytes]</w:t>
            </w:r>
          </w:p>
        </w:tc>
        <w:tc>
          <w:tcPr>
            <w:tcW w:w="2126" w:type="dxa"/>
          </w:tcPr>
          <w:p w14:paraId="351BFE6A" w14:textId="77777777" w:rsidR="009168AB" w:rsidRPr="00F66BE5" w:rsidRDefault="009168AB" w:rsidP="00E82507">
            <w:pPr>
              <w:pStyle w:val="TAH"/>
            </w:pPr>
            <w:r w:rsidRPr="004B5412">
              <w:t>With support for split bearers</w:t>
            </w:r>
          </w:p>
        </w:tc>
      </w:tr>
      <w:tr w:rsidR="009168AB" w:rsidRPr="00B476BF" w14:paraId="6406AE60" w14:textId="77777777" w:rsidTr="00842BA5">
        <w:trPr>
          <w:jc w:val="center"/>
        </w:trPr>
        <w:tc>
          <w:tcPr>
            <w:tcW w:w="1668" w:type="dxa"/>
          </w:tcPr>
          <w:p w14:paraId="16469547" w14:textId="77777777" w:rsidR="009168AB" w:rsidRPr="00F66BE5" w:rsidRDefault="009168AB" w:rsidP="00E82507">
            <w:pPr>
              <w:pStyle w:val="TAL"/>
            </w:pPr>
            <w:r w:rsidRPr="00F66BE5">
              <w:t>Category 1</w:t>
            </w:r>
          </w:p>
        </w:tc>
        <w:tc>
          <w:tcPr>
            <w:tcW w:w="2126" w:type="dxa"/>
          </w:tcPr>
          <w:p w14:paraId="2CD9780C" w14:textId="283BB17D" w:rsidR="009168AB" w:rsidRPr="00F66BE5" w:rsidRDefault="009168AB" w:rsidP="00E82507">
            <w:pPr>
              <w:pStyle w:val="TAL"/>
            </w:pPr>
          </w:p>
        </w:tc>
        <w:tc>
          <w:tcPr>
            <w:tcW w:w="2126" w:type="dxa"/>
          </w:tcPr>
          <w:p w14:paraId="2DDF2121" w14:textId="2AF8DCCF" w:rsidR="009168AB" w:rsidRPr="00F66BE5" w:rsidRDefault="009168AB" w:rsidP="00E82507">
            <w:pPr>
              <w:pStyle w:val="TAL"/>
            </w:pPr>
          </w:p>
        </w:tc>
      </w:tr>
      <w:tr w:rsidR="009168AB" w:rsidRPr="00B476BF" w14:paraId="45629685" w14:textId="77777777" w:rsidTr="00842BA5">
        <w:trPr>
          <w:jc w:val="center"/>
        </w:trPr>
        <w:tc>
          <w:tcPr>
            <w:tcW w:w="1668" w:type="dxa"/>
          </w:tcPr>
          <w:p w14:paraId="6F5C8C56" w14:textId="77777777" w:rsidR="009168AB" w:rsidRPr="00F66BE5" w:rsidRDefault="009168AB" w:rsidP="00E82507">
            <w:pPr>
              <w:pStyle w:val="TAL"/>
            </w:pPr>
            <w:r w:rsidRPr="00F66BE5">
              <w:t>Category 2</w:t>
            </w:r>
          </w:p>
        </w:tc>
        <w:tc>
          <w:tcPr>
            <w:tcW w:w="2126" w:type="dxa"/>
          </w:tcPr>
          <w:p w14:paraId="4C80BBEC" w14:textId="5C584D02" w:rsidR="009168AB" w:rsidRPr="00F66BE5" w:rsidRDefault="009168AB" w:rsidP="00E82507">
            <w:pPr>
              <w:pStyle w:val="TAL"/>
            </w:pPr>
          </w:p>
        </w:tc>
        <w:tc>
          <w:tcPr>
            <w:tcW w:w="2126" w:type="dxa"/>
          </w:tcPr>
          <w:p w14:paraId="01B6302B" w14:textId="1514DC68" w:rsidR="009168AB" w:rsidRPr="00F66BE5" w:rsidRDefault="009168AB" w:rsidP="00E82507">
            <w:pPr>
              <w:pStyle w:val="TAL"/>
            </w:pPr>
          </w:p>
        </w:tc>
      </w:tr>
      <w:tr w:rsidR="009168AB" w:rsidRPr="00B476BF" w14:paraId="33D0EF6D" w14:textId="77777777" w:rsidTr="00842BA5">
        <w:trPr>
          <w:jc w:val="center"/>
        </w:trPr>
        <w:tc>
          <w:tcPr>
            <w:tcW w:w="1668" w:type="dxa"/>
          </w:tcPr>
          <w:p w14:paraId="72354F4C" w14:textId="334733BE" w:rsidR="009168AB" w:rsidRPr="00F66BE5" w:rsidRDefault="009168AB" w:rsidP="00E82507">
            <w:pPr>
              <w:pStyle w:val="TAL"/>
            </w:pPr>
            <w:r>
              <w:t>…</w:t>
            </w:r>
          </w:p>
        </w:tc>
        <w:tc>
          <w:tcPr>
            <w:tcW w:w="2126" w:type="dxa"/>
          </w:tcPr>
          <w:p w14:paraId="0230056F" w14:textId="3A29948D" w:rsidR="009168AB" w:rsidRPr="00F66BE5" w:rsidRDefault="009168AB" w:rsidP="00E82507">
            <w:pPr>
              <w:pStyle w:val="TAL"/>
            </w:pPr>
          </w:p>
        </w:tc>
        <w:tc>
          <w:tcPr>
            <w:tcW w:w="2126" w:type="dxa"/>
          </w:tcPr>
          <w:p w14:paraId="074D1951" w14:textId="3DA69186" w:rsidR="009168AB" w:rsidRPr="00F66BE5" w:rsidRDefault="009168AB" w:rsidP="00E82507">
            <w:pPr>
              <w:pStyle w:val="TAL"/>
            </w:pPr>
          </w:p>
        </w:tc>
      </w:tr>
      <w:tr w:rsidR="009168AB" w:rsidRPr="00B476BF" w14:paraId="7E9B4306" w14:textId="77777777" w:rsidTr="00842BA5">
        <w:trPr>
          <w:jc w:val="center"/>
        </w:trPr>
        <w:tc>
          <w:tcPr>
            <w:tcW w:w="1668" w:type="dxa"/>
          </w:tcPr>
          <w:p w14:paraId="717DFF81" w14:textId="427B0C9F" w:rsidR="009168AB" w:rsidRPr="00F66BE5" w:rsidRDefault="009168AB" w:rsidP="009168AB">
            <w:pPr>
              <w:pStyle w:val="TAL"/>
            </w:pPr>
            <w:r w:rsidRPr="00E6285A">
              <w:rPr>
                <w:rFonts w:cs="Tahoma"/>
                <w:szCs w:val="16"/>
              </w:rPr>
              <w:t xml:space="preserve">Category </w:t>
            </w:r>
            <w:r>
              <w:rPr>
                <w:rFonts w:cs="Tahoma"/>
                <w:szCs w:val="16"/>
              </w:rPr>
              <w:t>N</w:t>
            </w:r>
          </w:p>
        </w:tc>
        <w:tc>
          <w:tcPr>
            <w:tcW w:w="2126" w:type="dxa"/>
          </w:tcPr>
          <w:p w14:paraId="09BFDD6F" w14:textId="216496C6" w:rsidR="009168AB" w:rsidRPr="00F66BE5" w:rsidRDefault="009168AB" w:rsidP="009168AB">
            <w:pPr>
              <w:pStyle w:val="TAL"/>
            </w:pPr>
          </w:p>
        </w:tc>
        <w:tc>
          <w:tcPr>
            <w:tcW w:w="2126" w:type="dxa"/>
          </w:tcPr>
          <w:p w14:paraId="209E93DD" w14:textId="09D7370A" w:rsidR="009168AB" w:rsidRPr="00F66BE5" w:rsidRDefault="009168AB" w:rsidP="009168AB">
            <w:pPr>
              <w:pStyle w:val="TAL"/>
            </w:pPr>
          </w:p>
        </w:tc>
      </w:tr>
    </w:tbl>
    <w:p w14:paraId="64FE47BA" w14:textId="5C6074BD" w:rsidR="009168AB" w:rsidRPr="00842BA5" w:rsidRDefault="00BC4748" w:rsidP="00842BA5">
      <w:pPr>
        <w:pStyle w:val="TH"/>
        <w:rPr>
          <w:rFonts w:ascii="Times New Roman" w:hAnsi="Times New Roman"/>
        </w:rPr>
      </w:pPr>
      <w:r w:rsidRPr="00842BA5">
        <w:rPr>
          <w:rFonts w:ascii="Times New Roman" w:hAnsi="Times New Roman"/>
        </w:rPr>
        <w:t xml:space="preserve">Table </w:t>
      </w:r>
      <w:r w:rsidR="00842BA5" w:rsidRPr="00842BA5">
        <w:rPr>
          <w:rFonts w:ascii="Times New Roman" w:hAnsi="Times New Roman"/>
        </w:rPr>
        <w:t>5-</w:t>
      </w:r>
      <w:r w:rsidR="00842BA5">
        <w:rPr>
          <w:rFonts w:ascii="Times New Roman" w:hAnsi="Times New Roman"/>
        </w:rPr>
        <w:t>2</w:t>
      </w:r>
      <w:r w:rsidRPr="00842BA5">
        <w:rPr>
          <w:rFonts w:ascii="Times New Roman" w:hAnsi="Times New Roman"/>
        </w:rPr>
        <w:t>: (Source [3]: Total layer 2 buffer sizes set by the field ue-Category)</w:t>
      </w:r>
    </w:p>
    <w:p w14:paraId="75556295" w14:textId="0E664421" w:rsidR="00BC4748" w:rsidRDefault="00BC4748">
      <w:pPr>
        <w:pStyle w:val="TH"/>
        <w:jc w:val="left"/>
        <w:rPr>
          <w:rFonts w:ascii="Times New Roman" w:hAnsi="Times New Roman"/>
          <w:b w:val="0"/>
        </w:rPr>
      </w:pPr>
      <w:r>
        <w:rPr>
          <w:rFonts w:ascii="Times New Roman" w:hAnsi="Times New Roman"/>
          <w:b w:val="0"/>
        </w:rPr>
        <w:t>There are at least 2 main options for describing the sharing of L2 buffer between LTE and NR for LTE/NR DC.</w:t>
      </w:r>
    </w:p>
    <w:p w14:paraId="04506EBF" w14:textId="7D5A09E0" w:rsidR="00BC4748" w:rsidRPr="00842BA5" w:rsidRDefault="00BC4748">
      <w:pPr>
        <w:pStyle w:val="TH"/>
        <w:jc w:val="left"/>
        <w:rPr>
          <w:rFonts w:ascii="Times New Roman" w:hAnsi="Times New Roman"/>
        </w:rPr>
      </w:pPr>
      <w:r w:rsidRPr="00842BA5">
        <w:rPr>
          <w:rFonts w:ascii="Times New Roman" w:hAnsi="Times New Roman"/>
        </w:rPr>
        <w:t>Option 1:</w:t>
      </w:r>
      <w:r>
        <w:rPr>
          <w:rFonts w:ascii="Times New Roman" w:hAnsi="Times New Roman"/>
        </w:rPr>
        <w:t xml:space="preserve"> Define the L2 buffer </w:t>
      </w:r>
      <w:r w:rsidR="00391497">
        <w:rPr>
          <w:rFonts w:ascii="Times New Roman" w:hAnsi="Times New Roman"/>
        </w:rPr>
        <w:t>size capability</w:t>
      </w:r>
      <w:r>
        <w:rPr>
          <w:rFonts w:ascii="Times New Roman" w:hAnsi="Times New Roman"/>
        </w:rPr>
        <w:t xml:space="preserve"> per RAT and indicate the allowed </w:t>
      </w:r>
      <w:r w:rsidR="00CC3927">
        <w:rPr>
          <w:rFonts w:ascii="Times New Roman" w:hAnsi="Times New Roman"/>
        </w:rPr>
        <w:t xml:space="preserve">category </w:t>
      </w:r>
      <w:r>
        <w:rPr>
          <w:rFonts w:ascii="Times New Roman" w:hAnsi="Times New Roman"/>
        </w:rPr>
        <w:t xml:space="preserve">combinations </w:t>
      </w:r>
      <w:r w:rsidR="00CC3927">
        <w:rPr>
          <w:rFonts w:ascii="Times New Roman" w:hAnsi="Times New Roman"/>
        </w:rPr>
        <w:t xml:space="preserve">and respective L2 buffer size by </w:t>
      </w:r>
      <w:r>
        <w:rPr>
          <w:rFonts w:ascii="Times New Roman" w:hAnsi="Times New Roman"/>
        </w:rPr>
        <w:t xml:space="preserve">using </w:t>
      </w:r>
      <w:r w:rsidR="00CC3927">
        <w:rPr>
          <w:rFonts w:ascii="Times New Roman" w:hAnsi="Times New Roman"/>
        </w:rPr>
        <w:t xml:space="preserve">the </w:t>
      </w:r>
      <w:r>
        <w:rPr>
          <w:rFonts w:ascii="Times New Roman" w:hAnsi="Times New Roman"/>
        </w:rPr>
        <w:t>indic</w:t>
      </w:r>
      <w:r w:rsidR="00CC3927">
        <w:rPr>
          <w:rFonts w:ascii="Times New Roman" w:hAnsi="Times New Roman"/>
        </w:rPr>
        <w:t>es</w:t>
      </w:r>
      <w:r>
        <w:rPr>
          <w:rFonts w:ascii="Times New Roman" w:hAnsi="Times New Roman"/>
        </w:rPr>
        <w:t>.</w:t>
      </w:r>
    </w:p>
    <w:p w14:paraId="044ACC54" w14:textId="4ADE4C44" w:rsidR="00BC4748" w:rsidRDefault="00BC4748">
      <w:pPr>
        <w:pStyle w:val="TH"/>
        <w:jc w:val="left"/>
        <w:rPr>
          <w:rFonts w:ascii="Times New Roman" w:hAnsi="Times New Roman"/>
        </w:rPr>
      </w:pPr>
      <w:r w:rsidRPr="00842BA5">
        <w:rPr>
          <w:rFonts w:ascii="Times New Roman" w:hAnsi="Times New Roman"/>
        </w:rPr>
        <w:t xml:space="preserve">Option 2: </w:t>
      </w:r>
      <w:r>
        <w:rPr>
          <w:rFonts w:ascii="Times New Roman" w:hAnsi="Times New Roman"/>
        </w:rPr>
        <w:t xml:space="preserve">Define </w:t>
      </w:r>
      <w:r w:rsidR="00CC3927">
        <w:rPr>
          <w:rFonts w:ascii="Times New Roman" w:hAnsi="Times New Roman"/>
        </w:rPr>
        <w:t xml:space="preserve">the </w:t>
      </w:r>
      <w:r>
        <w:rPr>
          <w:rFonts w:ascii="Times New Roman" w:hAnsi="Times New Roman"/>
        </w:rPr>
        <w:t xml:space="preserve">L2 buffer </w:t>
      </w:r>
      <w:r w:rsidR="00CC3927">
        <w:rPr>
          <w:rFonts w:ascii="Times New Roman" w:hAnsi="Times New Roman"/>
        </w:rPr>
        <w:t xml:space="preserve">size </w:t>
      </w:r>
      <w:r>
        <w:rPr>
          <w:rFonts w:ascii="Times New Roman" w:hAnsi="Times New Roman"/>
        </w:rPr>
        <w:t xml:space="preserve">capabilities by inheriting capabilities per RAT and make </w:t>
      </w:r>
      <w:r w:rsidR="00CC3927">
        <w:rPr>
          <w:rFonts w:ascii="Times New Roman" w:hAnsi="Times New Roman"/>
        </w:rPr>
        <w:t xml:space="preserve">additional </w:t>
      </w:r>
      <w:r>
        <w:rPr>
          <w:rFonts w:ascii="Times New Roman" w:hAnsi="Times New Roman"/>
        </w:rPr>
        <w:t>new categories for EN-DC capable UEs.</w:t>
      </w:r>
    </w:p>
    <w:p w14:paraId="22CA4477" w14:textId="5512DAAD" w:rsidR="00BC4748" w:rsidRDefault="00177D66">
      <w:pPr>
        <w:pStyle w:val="TH"/>
        <w:jc w:val="left"/>
        <w:rPr>
          <w:rFonts w:ascii="Times New Roman" w:hAnsi="Times New Roman"/>
          <w:b w:val="0"/>
        </w:rPr>
      </w:pPr>
      <w:r>
        <w:rPr>
          <w:rFonts w:ascii="Times New Roman" w:hAnsi="Times New Roman"/>
          <w:b w:val="0"/>
        </w:rPr>
        <w:t>In a</w:t>
      </w:r>
      <w:r w:rsidR="00BC4748">
        <w:rPr>
          <w:rFonts w:ascii="Times New Roman" w:hAnsi="Times New Roman"/>
          <w:b w:val="0"/>
        </w:rPr>
        <w:t xml:space="preserve"> quick </w:t>
      </w:r>
      <w:r>
        <w:rPr>
          <w:rFonts w:ascii="Times New Roman" w:hAnsi="Times New Roman"/>
          <w:b w:val="0"/>
        </w:rPr>
        <w:t>comparison</w:t>
      </w:r>
      <w:r w:rsidR="00BC4748">
        <w:rPr>
          <w:rFonts w:ascii="Times New Roman" w:hAnsi="Times New Roman"/>
          <w:b w:val="0"/>
        </w:rPr>
        <w:t xml:space="preserve"> between Option 1 and 2</w:t>
      </w:r>
      <w:r>
        <w:rPr>
          <w:rFonts w:ascii="Times New Roman" w:hAnsi="Times New Roman"/>
          <w:b w:val="0"/>
        </w:rPr>
        <w:t xml:space="preserve">, one could clearly see that the choice is motivated by either simplicity v/s flexibility. </w:t>
      </w:r>
      <w:r w:rsidR="00842BA5">
        <w:rPr>
          <w:rFonts w:ascii="Times New Roman" w:hAnsi="Times New Roman"/>
          <w:b w:val="0"/>
        </w:rPr>
        <w:t>Since</w:t>
      </w:r>
      <w:r>
        <w:rPr>
          <w:rFonts w:ascii="Times New Roman" w:hAnsi="Times New Roman"/>
          <w:b w:val="0"/>
        </w:rPr>
        <w:t xml:space="preserve"> the NR bit rates are going to be almost 5 to 10X of LTE supported rates, the L2 buffer size for NR will also be of the same order. While Option 2 clearly provides flexibility, it brings in additional complexity where both the nodes must clearly know how much L2 buffer the other RAT needs to consume before making their own choice. It would rather be simpler, if the index based approach describes the L2</w:t>
      </w:r>
      <w:r w:rsidR="00842BA5">
        <w:rPr>
          <w:rFonts w:ascii="Times New Roman" w:hAnsi="Times New Roman"/>
          <w:b w:val="0"/>
        </w:rPr>
        <w:t xml:space="preserve"> </w:t>
      </w:r>
      <w:r>
        <w:rPr>
          <w:rFonts w:ascii="Times New Roman" w:hAnsi="Times New Roman"/>
          <w:b w:val="0"/>
        </w:rPr>
        <w:t>buffer requirement for a given configuration in the form of a descriptor so that each node may make its choice independently without following detailed rules of capability consumption. From the viewpoint of standardization impacts, adding new EN-DC categories all the time seems rather time consuming. It might just be easier to create a EN-DC combination by agreeing the LTE and NR category which can support the same and binding them with an index.</w:t>
      </w:r>
    </w:p>
    <w:p w14:paraId="6673CEDA" w14:textId="0F958CB9" w:rsidR="003D1B9A" w:rsidRDefault="003D1B9A">
      <w:pPr>
        <w:pStyle w:val="TH"/>
        <w:jc w:val="left"/>
        <w:rPr>
          <w:rFonts w:ascii="Times New Roman" w:hAnsi="Times New Roman"/>
          <w:b w:val="0"/>
        </w:rPr>
      </w:pPr>
      <w:r>
        <w:rPr>
          <w:rFonts w:ascii="Times New Roman" w:hAnsi="Times New Roman"/>
          <w:b w:val="0"/>
        </w:rPr>
        <w:t>Based on the short discussion, we make the following proposals:</w:t>
      </w:r>
    </w:p>
    <w:p w14:paraId="3D894C30" w14:textId="6FDAEE6D" w:rsidR="003D1B9A" w:rsidRDefault="003D1B9A">
      <w:pPr>
        <w:pStyle w:val="TH"/>
        <w:jc w:val="left"/>
        <w:rPr>
          <w:rFonts w:ascii="Times New Roman" w:hAnsi="Times New Roman"/>
        </w:rPr>
      </w:pPr>
      <w:r w:rsidRPr="00842BA5">
        <w:rPr>
          <w:rFonts w:ascii="Times New Roman" w:hAnsi="Times New Roman"/>
        </w:rPr>
        <w:t xml:space="preserve">Proposal 3: An EN-DC UE category </w:t>
      </w:r>
      <w:r w:rsidR="00391DD0">
        <w:rPr>
          <w:rFonts w:ascii="Times New Roman" w:hAnsi="Times New Roman"/>
        </w:rPr>
        <w:t xml:space="preserve">(DL/UL) </w:t>
      </w:r>
      <w:r w:rsidRPr="00842BA5">
        <w:rPr>
          <w:rFonts w:ascii="Times New Roman" w:hAnsi="Times New Roman"/>
        </w:rPr>
        <w:t xml:space="preserve">is a union of </w:t>
      </w:r>
      <w:r>
        <w:rPr>
          <w:rFonts w:ascii="Times New Roman" w:hAnsi="Times New Roman"/>
        </w:rPr>
        <w:t xml:space="preserve">a standalone LTE </w:t>
      </w:r>
      <w:r w:rsidR="00391DD0">
        <w:rPr>
          <w:rFonts w:ascii="Times New Roman" w:hAnsi="Times New Roman"/>
        </w:rPr>
        <w:t xml:space="preserve">category </w:t>
      </w:r>
      <w:r>
        <w:rPr>
          <w:rFonts w:ascii="Times New Roman" w:hAnsi="Times New Roman"/>
        </w:rPr>
        <w:t xml:space="preserve">and </w:t>
      </w:r>
      <w:r w:rsidR="00391DD0">
        <w:rPr>
          <w:rFonts w:ascii="Times New Roman" w:hAnsi="Times New Roman"/>
        </w:rPr>
        <w:t xml:space="preserve">a </w:t>
      </w:r>
      <w:r>
        <w:rPr>
          <w:rFonts w:ascii="Times New Roman" w:hAnsi="Times New Roman"/>
        </w:rPr>
        <w:t xml:space="preserve">standalone NR </w:t>
      </w:r>
      <w:r w:rsidR="00391DD0">
        <w:rPr>
          <w:rFonts w:ascii="Times New Roman" w:hAnsi="Times New Roman"/>
        </w:rPr>
        <w:t xml:space="preserve">category. </w:t>
      </w:r>
    </w:p>
    <w:p w14:paraId="09CFAFC3" w14:textId="77777777" w:rsidR="0001697F" w:rsidRDefault="003D1B9A">
      <w:pPr>
        <w:pStyle w:val="TH"/>
        <w:jc w:val="left"/>
        <w:rPr>
          <w:rFonts w:ascii="Times New Roman" w:hAnsi="Times New Roman"/>
        </w:rPr>
      </w:pPr>
      <w:r w:rsidRPr="00E94539">
        <w:rPr>
          <w:rFonts w:ascii="Times New Roman" w:hAnsi="Times New Roman"/>
        </w:rPr>
        <w:t xml:space="preserve">Proposal </w:t>
      </w:r>
      <w:r>
        <w:rPr>
          <w:rFonts w:ascii="Times New Roman" w:hAnsi="Times New Roman"/>
        </w:rPr>
        <w:t>4</w:t>
      </w:r>
      <w:r w:rsidRPr="00E94539">
        <w:rPr>
          <w:rFonts w:ascii="Times New Roman" w:hAnsi="Times New Roman"/>
        </w:rPr>
        <w:t xml:space="preserve">: </w:t>
      </w:r>
      <w:r w:rsidR="0001697F">
        <w:rPr>
          <w:rFonts w:ascii="Times New Roman" w:hAnsi="Times New Roman"/>
        </w:rPr>
        <w:t>EN-DC UE category inherited in</w:t>
      </w:r>
      <w:r w:rsidR="00391DD0">
        <w:rPr>
          <w:rFonts w:ascii="Times New Roman" w:hAnsi="Times New Roman"/>
        </w:rPr>
        <w:t xml:space="preserve"> the union </w:t>
      </w:r>
      <w:r w:rsidR="0001697F">
        <w:rPr>
          <w:rFonts w:ascii="Times New Roman" w:hAnsi="Times New Roman"/>
        </w:rPr>
        <w:t>includes;</w:t>
      </w:r>
    </w:p>
    <w:p w14:paraId="44EA99E2" w14:textId="77777777" w:rsidR="0001697F" w:rsidRDefault="003D1B9A" w:rsidP="00842BA5">
      <w:pPr>
        <w:pStyle w:val="TH"/>
        <w:numPr>
          <w:ilvl w:val="0"/>
          <w:numId w:val="10"/>
        </w:numPr>
        <w:jc w:val="left"/>
        <w:rPr>
          <w:rFonts w:ascii="Times New Roman" w:hAnsi="Times New Roman"/>
        </w:rPr>
      </w:pPr>
      <w:r>
        <w:rPr>
          <w:rFonts w:ascii="Times New Roman" w:hAnsi="Times New Roman"/>
        </w:rPr>
        <w:t xml:space="preserve">Maximum number of bits of </w:t>
      </w:r>
      <w:r w:rsidRPr="003D1B9A">
        <w:rPr>
          <w:rFonts w:ascii="Times New Roman" w:hAnsi="Times New Roman"/>
        </w:rPr>
        <w:t>DL/UL-SCH TB bits received/transmitted within a TTI</w:t>
      </w:r>
      <w:r w:rsidR="0001697F">
        <w:rPr>
          <w:rFonts w:ascii="Times New Roman" w:hAnsi="Times New Roman"/>
        </w:rPr>
        <w:t xml:space="preserve"> in E-UTRA</w:t>
      </w:r>
    </w:p>
    <w:p w14:paraId="496311D5" w14:textId="3CF9B6E5" w:rsidR="0001697F" w:rsidRDefault="0001697F" w:rsidP="00842BA5">
      <w:pPr>
        <w:pStyle w:val="TH"/>
        <w:numPr>
          <w:ilvl w:val="0"/>
          <w:numId w:val="10"/>
        </w:numPr>
        <w:jc w:val="left"/>
        <w:rPr>
          <w:rFonts w:ascii="Times New Roman" w:hAnsi="Times New Roman"/>
        </w:rPr>
      </w:pPr>
      <w:r>
        <w:rPr>
          <w:rFonts w:ascii="Times New Roman" w:hAnsi="Times New Roman"/>
        </w:rPr>
        <w:t xml:space="preserve">Maximum number of bits of </w:t>
      </w:r>
      <w:r w:rsidRPr="003D1B9A">
        <w:rPr>
          <w:rFonts w:ascii="Times New Roman" w:hAnsi="Times New Roman"/>
        </w:rPr>
        <w:t>DL/UL-SCH TB bits received/transmitted within a TTI</w:t>
      </w:r>
      <w:r>
        <w:rPr>
          <w:rFonts w:ascii="Times New Roman" w:hAnsi="Times New Roman"/>
        </w:rPr>
        <w:t xml:space="preserve"> in NR</w:t>
      </w:r>
    </w:p>
    <w:p w14:paraId="5B4BCC43" w14:textId="52EA4D3A" w:rsidR="0001697F" w:rsidRDefault="003D1B9A" w:rsidP="00842BA5">
      <w:pPr>
        <w:pStyle w:val="TH"/>
        <w:numPr>
          <w:ilvl w:val="0"/>
          <w:numId w:val="10"/>
        </w:numPr>
        <w:jc w:val="left"/>
        <w:rPr>
          <w:rFonts w:ascii="Times New Roman" w:hAnsi="Times New Roman"/>
        </w:rPr>
      </w:pPr>
      <w:r>
        <w:rPr>
          <w:rFonts w:ascii="Times New Roman" w:hAnsi="Times New Roman"/>
        </w:rPr>
        <w:t>t</w:t>
      </w:r>
      <w:r w:rsidRPr="003D1B9A">
        <w:rPr>
          <w:rFonts w:ascii="Times New Roman" w:hAnsi="Times New Roman"/>
        </w:rPr>
        <w:t>otal number of soft channel bits</w:t>
      </w:r>
      <w:r w:rsidR="0001697F">
        <w:rPr>
          <w:rFonts w:ascii="Times New Roman" w:hAnsi="Times New Roman"/>
        </w:rPr>
        <w:t xml:space="preserve"> in E-UTRA</w:t>
      </w:r>
    </w:p>
    <w:p w14:paraId="130887B5" w14:textId="3BB95205" w:rsidR="0001697F" w:rsidRDefault="0001697F" w:rsidP="00842BA5">
      <w:pPr>
        <w:pStyle w:val="TH"/>
        <w:numPr>
          <w:ilvl w:val="0"/>
          <w:numId w:val="10"/>
        </w:numPr>
        <w:jc w:val="left"/>
        <w:rPr>
          <w:rFonts w:ascii="Times New Roman" w:hAnsi="Times New Roman"/>
        </w:rPr>
      </w:pPr>
      <w:r>
        <w:rPr>
          <w:rFonts w:ascii="Times New Roman" w:hAnsi="Times New Roman"/>
        </w:rPr>
        <w:t>total number of soft channel bits in NR</w:t>
      </w:r>
      <w:r w:rsidR="003D1B9A">
        <w:rPr>
          <w:rFonts w:ascii="Times New Roman" w:hAnsi="Times New Roman"/>
        </w:rPr>
        <w:t>,</w:t>
      </w:r>
    </w:p>
    <w:p w14:paraId="6297308A" w14:textId="2812D733" w:rsidR="003D1B9A" w:rsidRDefault="003D1B9A" w:rsidP="00842BA5">
      <w:pPr>
        <w:pStyle w:val="TH"/>
        <w:numPr>
          <w:ilvl w:val="0"/>
          <w:numId w:val="10"/>
        </w:numPr>
        <w:jc w:val="left"/>
        <w:rPr>
          <w:rFonts w:ascii="Times New Roman" w:hAnsi="Times New Roman"/>
        </w:rPr>
      </w:pPr>
      <w:r>
        <w:rPr>
          <w:rFonts w:ascii="Times New Roman" w:hAnsi="Times New Roman"/>
        </w:rPr>
        <w:t>t</w:t>
      </w:r>
      <w:r w:rsidRPr="00842BA5">
        <w:rPr>
          <w:rFonts w:ascii="Times New Roman" w:hAnsi="Times New Roman"/>
        </w:rPr>
        <w:t>otal layer 2 buffer size</w:t>
      </w:r>
      <w:r w:rsidRPr="003D1B9A">
        <w:rPr>
          <w:rFonts w:ascii="Times New Roman" w:hAnsi="Times New Roman"/>
        </w:rPr>
        <w:t xml:space="preserve"> across both LTE and NR</w:t>
      </w:r>
      <w:r>
        <w:rPr>
          <w:rFonts w:ascii="Times New Roman" w:hAnsi="Times New Roman"/>
        </w:rPr>
        <w:t xml:space="preserve"> a</w:t>
      </w:r>
      <w:r w:rsidR="0001697F">
        <w:rPr>
          <w:rFonts w:ascii="Times New Roman" w:hAnsi="Times New Roman"/>
        </w:rPr>
        <w:t xml:space="preserve">s </w:t>
      </w:r>
      <w:r>
        <w:rPr>
          <w:rFonts w:ascii="Times New Roman" w:hAnsi="Times New Roman"/>
        </w:rPr>
        <w:t>the linear</w:t>
      </w:r>
      <w:r w:rsidR="0001697F">
        <w:rPr>
          <w:rFonts w:ascii="Times New Roman" w:hAnsi="Times New Roman"/>
        </w:rPr>
        <w:t xml:space="preserve"> sum of LTE L2 buffer size and NR L2 buffer size.</w:t>
      </w:r>
    </w:p>
    <w:p w14:paraId="657665FA" w14:textId="0DECE001" w:rsidR="003D770D" w:rsidRDefault="003D1B9A">
      <w:pPr>
        <w:pStyle w:val="TH"/>
        <w:jc w:val="left"/>
        <w:rPr>
          <w:rFonts w:ascii="Times New Roman" w:hAnsi="Times New Roman"/>
        </w:rPr>
      </w:pPr>
      <w:r w:rsidRPr="00E94539">
        <w:rPr>
          <w:rFonts w:ascii="Times New Roman" w:hAnsi="Times New Roman"/>
        </w:rPr>
        <w:t xml:space="preserve">Proposal </w:t>
      </w:r>
      <w:r>
        <w:rPr>
          <w:rFonts w:ascii="Times New Roman" w:hAnsi="Times New Roman"/>
        </w:rPr>
        <w:t>5</w:t>
      </w:r>
      <w:r w:rsidRPr="00E94539">
        <w:rPr>
          <w:rFonts w:ascii="Times New Roman" w:hAnsi="Times New Roman"/>
        </w:rPr>
        <w:t>:</w:t>
      </w:r>
      <w:r>
        <w:rPr>
          <w:rFonts w:ascii="Times New Roman" w:hAnsi="Times New Roman"/>
        </w:rPr>
        <w:t xml:space="preserve"> Each node </w:t>
      </w:r>
      <w:r w:rsidR="003D770D">
        <w:rPr>
          <w:rFonts w:ascii="Times New Roman" w:hAnsi="Times New Roman"/>
        </w:rPr>
        <w:t>can</w:t>
      </w:r>
      <w:r>
        <w:rPr>
          <w:rFonts w:ascii="Times New Roman" w:hAnsi="Times New Roman"/>
        </w:rPr>
        <w:t xml:space="preserve"> know its share from the description of the </w:t>
      </w:r>
      <w:r w:rsidR="00391497">
        <w:rPr>
          <w:rFonts w:ascii="Times New Roman" w:hAnsi="Times New Roman"/>
        </w:rPr>
        <w:t xml:space="preserve">UE category </w:t>
      </w:r>
      <w:r>
        <w:rPr>
          <w:rFonts w:ascii="Times New Roman" w:hAnsi="Times New Roman"/>
        </w:rPr>
        <w:t>index; an index points to the union of the standalone LTE and standalone NR UE DL/UL category.</w:t>
      </w:r>
    </w:p>
    <w:p w14:paraId="0081E7E9" w14:textId="59A4DACC" w:rsidR="00FF252E" w:rsidRPr="006E13D1" w:rsidRDefault="00E11568" w:rsidP="00FF252E">
      <w:pPr>
        <w:pStyle w:val="Heading1"/>
      </w:pPr>
      <w:r>
        <w:lastRenderedPageBreak/>
        <w:t>6</w:t>
      </w:r>
      <w:r w:rsidR="00FF252E" w:rsidRPr="006E13D1">
        <w:tab/>
      </w:r>
      <w:r w:rsidR="00DB080E">
        <w:t>UL Tx power sharing between LTE and NR</w:t>
      </w:r>
      <w:r w:rsidR="00DB080E" w:rsidDel="00DB080E">
        <w:t xml:space="preserve"> </w:t>
      </w:r>
    </w:p>
    <w:p w14:paraId="24A81AF2" w14:textId="63373950" w:rsidR="00B81833" w:rsidRDefault="00B81833" w:rsidP="00DB080E">
      <w:pPr>
        <w:jc w:val="both"/>
      </w:pPr>
      <w:r>
        <w:t>In this section, we draw attention to a RAN1 discussion on this topic which is discussed in [5].</w:t>
      </w:r>
    </w:p>
    <w:p w14:paraId="1CAD737D" w14:textId="47F1DC95" w:rsidR="00DB080E" w:rsidRDefault="00DB080E" w:rsidP="00DB080E">
      <w:pPr>
        <w:jc w:val="both"/>
      </w:pPr>
      <w:r>
        <w:t xml:space="preserve">Based on the RAN4 and RAN1 discussions to date, the main L1 aspect of dual connectivity is the UL power management between cell groups, because maximum transmit power of a UE cannot be exceeded due to regulations (SAR limits). When a UE transmits UL data or/and control on both carriers at the same time, the maximum nominal power must be shared between the CGs. In LTE, a mechanism illustrated in Figure 6-1 has been standardized. A UE is configured by MeNB with two parameters p-MeNB and p-SeNB corresponding to minimum guaranteed power at each CG. The values of these parameters are negotiated between the MCG and SCG over X2, and the final decision is made and communicated to a UE by MeNB. </w:t>
      </w:r>
    </w:p>
    <w:p w14:paraId="453450EF" w14:textId="77777777" w:rsidR="00DB080E" w:rsidRDefault="00DB080E" w:rsidP="00DB080E">
      <w:pPr>
        <w:keepNext/>
        <w:jc w:val="center"/>
      </w:pPr>
      <w:r>
        <w:rPr>
          <w:noProof/>
          <w:lang w:val="en-US"/>
        </w:rPr>
        <w:drawing>
          <wp:inline distT="0" distB="0" distL="0" distR="0" wp14:anchorId="2534F3AB" wp14:editId="49899830">
            <wp:extent cx="3291840" cy="181528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31509" cy="1837165"/>
                    </a:xfrm>
                    <a:prstGeom prst="rect">
                      <a:avLst/>
                    </a:prstGeom>
                  </pic:spPr>
                </pic:pic>
              </a:graphicData>
            </a:graphic>
          </wp:inline>
        </w:drawing>
      </w:r>
    </w:p>
    <w:p w14:paraId="0311C874" w14:textId="2BDA1FCB" w:rsidR="00DB080E" w:rsidRPr="00842BA5" w:rsidRDefault="00DB080E" w:rsidP="00DB080E">
      <w:pPr>
        <w:pStyle w:val="Caption"/>
        <w:jc w:val="center"/>
        <w:rPr>
          <w:rFonts w:ascii="Times New Roman" w:eastAsia="Times New Roman" w:hAnsi="Times New Roman" w:cs="Times New Roman"/>
          <w:noProof w:val="0"/>
          <w:sz w:val="20"/>
          <w:szCs w:val="20"/>
          <w:lang w:val="en-GB" w:eastAsia="en-US"/>
        </w:rPr>
      </w:pPr>
      <w:r w:rsidRPr="00842BA5">
        <w:rPr>
          <w:rFonts w:ascii="Times New Roman" w:eastAsia="Times New Roman" w:hAnsi="Times New Roman" w:cs="Times New Roman"/>
          <w:noProof w:val="0"/>
          <w:sz w:val="20"/>
          <w:szCs w:val="20"/>
          <w:lang w:val="en-GB" w:eastAsia="en-US"/>
        </w:rPr>
        <w:t xml:space="preserve">Figure </w:t>
      </w:r>
      <w:r>
        <w:rPr>
          <w:rFonts w:ascii="Times New Roman" w:eastAsia="Times New Roman" w:hAnsi="Times New Roman" w:cs="Times New Roman"/>
          <w:noProof w:val="0"/>
          <w:sz w:val="20"/>
          <w:szCs w:val="20"/>
          <w:lang w:val="en-GB" w:eastAsia="en-US"/>
        </w:rPr>
        <w:t>6-1:</w:t>
      </w:r>
      <w:r w:rsidRPr="00842BA5">
        <w:rPr>
          <w:rFonts w:ascii="Times New Roman" w:eastAsia="Times New Roman" w:hAnsi="Times New Roman" w:cs="Times New Roman"/>
          <w:noProof w:val="0"/>
          <w:sz w:val="20"/>
          <w:szCs w:val="20"/>
          <w:lang w:val="en-GB" w:eastAsia="en-US"/>
        </w:rPr>
        <w:t xml:space="preserve"> </w:t>
      </w:r>
      <w:r>
        <w:rPr>
          <w:rFonts w:ascii="Times New Roman" w:eastAsia="Times New Roman" w:hAnsi="Times New Roman" w:cs="Times New Roman"/>
          <w:noProof w:val="0"/>
          <w:sz w:val="20"/>
          <w:szCs w:val="20"/>
          <w:lang w:val="en-GB" w:eastAsia="en-US"/>
        </w:rPr>
        <w:t xml:space="preserve">UL Tx power sharing configuration in LTE </w:t>
      </w:r>
      <w:r w:rsidRPr="00842BA5">
        <w:rPr>
          <w:rFonts w:ascii="Times New Roman" w:eastAsia="Times New Roman" w:hAnsi="Times New Roman" w:cs="Times New Roman"/>
          <w:noProof w:val="0"/>
          <w:sz w:val="20"/>
          <w:szCs w:val="20"/>
          <w:lang w:val="en-GB" w:eastAsia="en-US"/>
        </w:rPr>
        <w:t>DC</w:t>
      </w:r>
    </w:p>
    <w:p w14:paraId="5C43C5A2" w14:textId="77777777" w:rsidR="00DB080E" w:rsidRPr="00DE3A23" w:rsidRDefault="00DB080E" w:rsidP="00DB080E">
      <w:pPr>
        <w:jc w:val="both"/>
      </w:pPr>
      <w:r>
        <w:t xml:space="preserve">In LTE, the specification defines two power control modes on top of preconfigured values p-MeNB and p-SeNB, where </w:t>
      </w:r>
      <w:r w:rsidRPr="00DE3A23">
        <w:t xml:space="preserve">Mode 1 is mandatory and Mode 2 may be supported as an option. </w:t>
      </w:r>
    </w:p>
    <w:p w14:paraId="2F01BA3C" w14:textId="77777777" w:rsidR="00DB080E" w:rsidRPr="00DE3A23" w:rsidRDefault="00DB080E" w:rsidP="00DB080E">
      <w:pPr>
        <w:numPr>
          <w:ilvl w:val="0"/>
          <w:numId w:val="8"/>
        </w:numPr>
        <w:spacing w:after="160" w:line="259" w:lineRule="auto"/>
        <w:jc w:val="both"/>
      </w:pPr>
      <w:r w:rsidRPr="00DE3A23">
        <w:rPr>
          <w:b/>
          <w:u w:val="single"/>
        </w:rPr>
        <w:t xml:space="preserve">In power control mode 1 </w:t>
      </w:r>
      <w:r>
        <w:rPr>
          <w:b/>
          <w:u w:val="single"/>
        </w:rPr>
        <w:t xml:space="preserve">– </w:t>
      </w:r>
      <w:r w:rsidRPr="00DE3A23">
        <w:t>when</w:t>
      </w:r>
      <w:r w:rsidRPr="00DE3A23">
        <w:rPr>
          <w:b/>
        </w:rPr>
        <w:t xml:space="preserve"> </w:t>
      </w:r>
      <w:r w:rsidRPr="00DE3A23">
        <w:t xml:space="preserve">UL is synchronous  </w:t>
      </w:r>
    </w:p>
    <w:p w14:paraId="70526D3B" w14:textId="77777777" w:rsidR="00DB080E" w:rsidRPr="00DE3A23" w:rsidRDefault="00DB080E" w:rsidP="00DB080E">
      <w:pPr>
        <w:numPr>
          <w:ilvl w:val="1"/>
          <w:numId w:val="8"/>
        </w:numPr>
        <w:spacing w:after="160" w:line="259" w:lineRule="auto"/>
        <w:jc w:val="both"/>
      </w:pPr>
      <w:r w:rsidRPr="00DE3A23">
        <w:t xml:space="preserve">UE allocates up to the minimum guaranteed power to each CG and any remaining power is shared across MCG and SCG on a per transmission basis according to a priority order based on Uplink Control Information (UCI) type.   </w:t>
      </w:r>
    </w:p>
    <w:p w14:paraId="25355DAE" w14:textId="77777777" w:rsidR="00DB080E" w:rsidRPr="00DE3A23" w:rsidRDefault="00DB080E" w:rsidP="00DB080E">
      <w:pPr>
        <w:numPr>
          <w:ilvl w:val="0"/>
          <w:numId w:val="8"/>
        </w:numPr>
        <w:spacing w:after="160" w:line="259" w:lineRule="auto"/>
        <w:jc w:val="both"/>
      </w:pPr>
      <w:r w:rsidRPr="00DE3A23">
        <w:rPr>
          <w:b/>
          <w:u w:val="single"/>
        </w:rPr>
        <w:t>In power control mode 2</w:t>
      </w:r>
      <w:r w:rsidRPr="00DE3A23">
        <w:t xml:space="preserve"> </w:t>
      </w:r>
      <w:r>
        <w:t>– when UL is asynchronous,</w:t>
      </w:r>
      <w:r w:rsidRPr="00DE3A23">
        <w:t xml:space="preserve"> </w:t>
      </w:r>
      <w:r>
        <w:t>resulting into overlapping (in time) subframes in M</w:t>
      </w:r>
      <w:r w:rsidRPr="00DE3A23">
        <w:t xml:space="preserve">CG and </w:t>
      </w:r>
      <w:r>
        <w:t>S</w:t>
      </w:r>
      <w:r w:rsidRPr="00DE3A23">
        <w:t>CG</w:t>
      </w:r>
      <w:r>
        <w:t>,</w:t>
      </w:r>
    </w:p>
    <w:p w14:paraId="0B57AFC2" w14:textId="77777777" w:rsidR="00DB080E" w:rsidRPr="00DE3A23" w:rsidRDefault="00DB080E" w:rsidP="00DB080E">
      <w:pPr>
        <w:numPr>
          <w:ilvl w:val="1"/>
          <w:numId w:val="8"/>
        </w:numPr>
        <w:spacing w:after="160" w:line="259" w:lineRule="auto"/>
        <w:jc w:val="both"/>
      </w:pPr>
      <w:r w:rsidRPr="00DE3A23">
        <w:t xml:space="preserve">the UE reserves the minimum guaranteed power to each CG and any remaining power is first made available to the CG that starts the earliest in time.  </w:t>
      </w:r>
    </w:p>
    <w:p w14:paraId="3DFE6D42" w14:textId="77777777" w:rsidR="00DB080E" w:rsidRDefault="00DB080E" w:rsidP="00DB080E">
      <w:pPr>
        <w:jc w:val="both"/>
      </w:pPr>
    </w:p>
    <w:p w14:paraId="64B25743" w14:textId="0571DCA2" w:rsidR="00DB080E" w:rsidRDefault="005F555C" w:rsidP="00DB080E">
      <w:pPr>
        <w:keepNext/>
        <w:jc w:val="center"/>
      </w:pPr>
      <w:r>
        <w:object w:dxaOrig="10959" w:dyaOrig="3382" w14:anchorId="4B5BD2A9">
          <v:shape id="_x0000_i1027" type="#_x0000_t75" style="width:433.3pt;height:135pt" o:ole="">
            <v:imagedata r:id="rId17" o:title=""/>
          </v:shape>
          <o:OLEObject Type="Embed" ProgID="Visio.Drawing.11" ShapeID="_x0000_i1027" DrawAspect="Content" ObjectID="_1559204666" r:id="rId18"/>
        </w:object>
      </w:r>
    </w:p>
    <w:p w14:paraId="28CAA0D3" w14:textId="448D7862" w:rsidR="00DB080E" w:rsidRPr="00842BA5" w:rsidRDefault="00DB080E" w:rsidP="00DB080E">
      <w:pPr>
        <w:pStyle w:val="Caption"/>
        <w:jc w:val="center"/>
        <w:rPr>
          <w:rFonts w:ascii="Times New Roman" w:eastAsia="Times New Roman" w:hAnsi="Times New Roman" w:cs="Times New Roman"/>
          <w:noProof w:val="0"/>
          <w:sz w:val="20"/>
          <w:szCs w:val="20"/>
          <w:lang w:val="en-GB" w:eastAsia="en-US"/>
        </w:rPr>
      </w:pPr>
      <w:r w:rsidRPr="00842BA5">
        <w:rPr>
          <w:rFonts w:ascii="Times New Roman" w:eastAsia="Times New Roman" w:hAnsi="Times New Roman" w:cs="Times New Roman"/>
          <w:noProof w:val="0"/>
          <w:sz w:val="20"/>
          <w:szCs w:val="20"/>
          <w:lang w:val="en-GB" w:eastAsia="en-US"/>
        </w:rPr>
        <w:t>Figure 6-2: LTE and NR synchronous operation</w:t>
      </w:r>
    </w:p>
    <w:p w14:paraId="0F8916E7" w14:textId="249563FC" w:rsidR="00DB080E" w:rsidRDefault="00DB080E" w:rsidP="00DB080E">
      <w:pPr>
        <w:jc w:val="both"/>
      </w:pPr>
      <w:r>
        <w:t xml:space="preserve">While the above two algorithms have been seen sufficient for LTE, </w:t>
      </w:r>
      <w:r w:rsidR="003B7BBC">
        <w:t>it remains to be discussed</w:t>
      </w:r>
      <w:r>
        <w:t xml:space="preserve"> whether they are sufficient also for NR. </w:t>
      </w:r>
      <w:r w:rsidR="003B7BBC">
        <w:t xml:space="preserve">One such issue is described here to indicate the gravity of the situation. </w:t>
      </w:r>
      <w:r>
        <w:t xml:space="preserve">In the previous meeting, RAN1 agreed that both asynchronous and synchronous dual connectivity is supported. However, it was not clear what does synchronous mean in the case of different numerology and variable TTI length. Figure 6-2 shows an example of NR and </w:t>
      </w:r>
      <w:r>
        <w:lastRenderedPageBreak/>
        <w:t xml:space="preserve">LTE timing for the “synchronous” case with the same numerology and variable TTI length, the starting instances for slots and mini-slot are within nested time grid, which means that the shorter TTI is not overlapping (in time) with the border of the longer TTI.  </w:t>
      </w:r>
    </w:p>
    <w:p w14:paraId="53AB6D6F" w14:textId="674AF0FC" w:rsidR="00DB080E" w:rsidRDefault="00DB080E" w:rsidP="00DB080E">
      <w:pPr>
        <w:tabs>
          <w:tab w:val="num" w:pos="2160"/>
        </w:tabs>
        <w:jc w:val="both"/>
      </w:pPr>
      <w:r>
        <w:t>When considering the example from Figure 6-2, compared to LTE,</w:t>
      </w:r>
      <w:r w:rsidRPr="00E825F0">
        <w:t xml:space="preserve"> NR</w:t>
      </w:r>
      <w:r>
        <w:t xml:space="preserve"> as well as</w:t>
      </w:r>
      <w:r w:rsidRPr="00E825F0">
        <w:t xml:space="preserve"> R15 LTE</w:t>
      </w:r>
      <w:r>
        <w:t xml:space="preserve"> (short TTI) have</w:t>
      </w:r>
      <w:r w:rsidRPr="00E825F0">
        <w:t xml:space="preserve"> </w:t>
      </w:r>
      <w:r>
        <w:t>the</w:t>
      </w:r>
      <w:r w:rsidRPr="00E825F0">
        <w:t xml:space="preserve"> following new challenges</w:t>
      </w:r>
      <w:r w:rsidR="003B7BBC">
        <w:t>:</w:t>
      </w:r>
      <w:r w:rsidRPr="00E825F0">
        <w:t xml:space="preserve"> </w:t>
      </w:r>
    </w:p>
    <w:p w14:paraId="72920FBA" w14:textId="77777777" w:rsidR="00DB080E" w:rsidRDefault="00DB080E" w:rsidP="00DB080E">
      <w:pPr>
        <w:pStyle w:val="ListParagraph"/>
        <w:numPr>
          <w:ilvl w:val="0"/>
          <w:numId w:val="9"/>
        </w:numPr>
        <w:tabs>
          <w:tab w:val="num" w:pos="1440"/>
          <w:tab w:val="num" w:pos="2160"/>
        </w:tabs>
        <w:spacing w:after="160" w:line="259" w:lineRule="auto"/>
        <w:jc w:val="both"/>
      </w:pPr>
      <w:r w:rsidRPr="00E825F0">
        <w:t>variable</w:t>
      </w:r>
      <w:r>
        <w:t>/unequal</w:t>
      </w:r>
      <w:r w:rsidRPr="00E825F0">
        <w:t xml:space="preserve"> PUSCH</w:t>
      </w:r>
      <w:r>
        <w:t>/HARQ-ACK</w:t>
      </w:r>
      <w:r w:rsidRPr="00E825F0">
        <w:t xml:space="preserve"> timing</w:t>
      </w:r>
      <w:r>
        <w:t xml:space="preserve"> on different cell groups</w:t>
      </w:r>
    </w:p>
    <w:p w14:paraId="68725757" w14:textId="77777777" w:rsidR="00DB080E" w:rsidRDefault="00DB080E" w:rsidP="00DB080E">
      <w:pPr>
        <w:pStyle w:val="ListParagraph"/>
        <w:numPr>
          <w:ilvl w:val="0"/>
          <w:numId w:val="9"/>
        </w:numPr>
        <w:tabs>
          <w:tab w:val="num" w:pos="1440"/>
          <w:tab w:val="num" w:pos="2160"/>
        </w:tabs>
        <w:spacing w:after="160" w:line="259" w:lineRule="auto"/>
        <w:jc w:val="both"/>
      </w:pPr>
      <w:r w:rsidRPr="00E825F0">
        <w:t xml:space="preserve">variable TTI length </w:t>
      </w:r>
      <w:r>
        <w:t>due to mini-slot or different SCS</w:t>
      </w:r>
    </w:p>
    <w:p w14:paraId="058D9FB7" w14:textId="74743339" w:rsidR="00DB080E" w:rsidRDefault="00DB080E" w:rsidP="00DB080E">
      <w:pPr>
        <w:pStyle w:val="ListParagraph"/>
        <w:numPr>
          <w:ilvl w:val="0"/>
          <w:numId w:val="9"/>
        </w:numPr>
        <w:tabs>
          <w:tab w:val="num" w:pos="1440"/>
          <w:tab w:val="num" w:pos="2160"/>
        </w:tabs>
        <w:spacing w:after="160" w:line="259" w:lineRule="auto"/>
        <w:jc w:val="both"/>
      </w:pPr>
      <w:r>
        <w:t>traffic of different priorities</w:t>
      </w:r>
      <w:r w:rsidRPr="00E825F0">
        <w:t xml:space="preserve"> (eMBB, URLLC)</w:t>
      </w:r>
    </w:p>
    <w:p w14:paraId="28DDFD28" w14:textId="2BEE18AB" w:rsidR="00DB080E" w:rsidRDefault="00DB080E" w:rsidP="00842BA5">
      <w:pPr>
        <w:spacing w:after="160" w:line="259" w:lineRule="auto"/>
        <w:jc w:val="both"/>
      </w:pPr>
      <w:r>
        <w:t>The details of the analysis are presented in [</w:t>
      </w:r>
      <w:r w:rsidR="004B5A6C">
        <w:t>5</w:t>
      </w:r>
      <w:r>
        <w:t>], but we observe that the discussion about UL Tx power sharing must first happen in RAN1 and once there is sufficient clarity, RAN2 may progress further with defining the signalling</w:t>
      </w:r>
      <w:r w:rsidR="00AA323C">
        <w:t xml:space="preserve"> related aspects</w:t>
      </w:r>
      <w:r>
        <w:t>.</w:t>
      </w:r>
    </w:p>
    <w:p w14:paraId="279AFB90" w14:textId="6BA18F81" w:rsidR="00FF252E" w:rsidRDefault="00DB080E" w:rsidP="00842BA5">
      <w:pPr>
        <w:spacing w:after="160" w:line="259" w:lineRule="auto"/>
        <w:jc w:val="both"/>
        <w:rPr>
          <w:b/>
        </w:rPr>
      </w:pPr>
      <w:r w:rsidRPr="00842BA5">
        <w:rPr>
          <w:b/>
        </w:rPr>
        <w:t>Proposal</w:t>
      </w:r>
      <w:r>
        <w:rPr>
          <w:b/>
        </w:rPr>
        <w:t xml:space="preserve"> 6</w:t>
      </w:r>
      <w:r w:rsidRPr="00842BA5">
        <w:rPr>
          <w:b/>
        </w:rPr>
        <w:t>:</w:t>
      </w:r>
      <w:r>
        <w:rPr>
          <w:b/>
        </w:rPr>
        <w:t xml:space="preserve"> RAN2 waits for RAN1 to make sufficient progress on LTE/NR DC UL Tx power sharing.</w:t>
      </w:r>
    </w:p>
    <w:p w14:paraId="7FB17DAE" w14:textId="77777777" w:rsidR="00006623" w:rsidRPr="006E13D1" w:rsidRDefault="00E11568" w:rsidP="00006623">
      <w:pPr>
        <w:pStyle w:val="Heading1"/>
      </w:pPr>
      <w:r>
        <w:t>7</w:t>
      </w:r>
      <w:r w:rsidR="00006623" w:rsidRPr="006E13D1">
        <w:tab/>
      </w:r>
      <w:r w:rsidR="008931A4">
        <w:t>Assistance information based on expected performance indicators</w:t>
      </w:r>
    </w:p>
    <w:p w14:paraId="572F6928" w14:textId="77777777" w:rsidR="008931A4" w:rsidRDefault="008931A4" w:rsidP="00006623">
      <w:r>
        <w:t>The discussion in section 3 is not complete if we do not discuss an important question relating to the capability coordination:</w:t>
      </w:r>
    </w:p>
    <w:p w14:paraId="50E20191" w14:textId="04002273" w:rsidR="008931A4" w:rsidRDefault="008931A4" w:rsidP="008931A4">
      <w:pPr>
        <w:pStyle w:val="ListParagraph"/>
        <w:numPr>
          <w:ilvl w:val="0"/>
          <w:numId w:val="6"/>
        </w:numPr>
      </w:pPr>
      <w:r>
        <w:t>How does a node know “beforehand”</w:t>
      </w:r>
      <w:r w:rsidR="00746599">
        <w:t xml:space="preserve"> which </w:t>
      </w:r>
      <w:r w:rsidR="00391497">
        <w:t>band combination (</w:t>
      </w:r>
      <w:r w:rsidR="00746599">
        <w:t>index</w:t>
      </w:r>
      <w:r w:rsidR="00391497">
        <w:t>)</w:t>
      </w:r>
      <w:r w:rsidR="00746599">
        <w:t xml:space="preserve"> to select?</w:t>
      </w:r>
    </w:p>
    <w:p w14:paraId="0962EFF2" w14:textId="77777777" w:rsidR="00746599" w:rsidRDefault="00746599" w:rsidP="008931A4">
      <w:pPr>
        <w:pStyle w:val="ListParagraph"/>
        <w:numPr>
          <w:ilvl w:val="0"/>
          <w:numId w:val="6"/>
        </w:numPr>
      </w:pPr>
      <w:r>
        <w:t>Will the participating nodes have to exchange several messages back and forth on the X2 interface before they can converge on the right indexes to use?</w:t>
      </w:r>
    </w:p>
    <w:p w14:paraId="339BC958" w14:textId="77777777" w:rsidR="00746599" w:rsidRDefault="00746599" w:rsidP="008931A4">
      <w:pPr>
        <w:pStyle w:val="ListParagraph"/>
        <w:numPr>
          <w:ilvl w:val="0"/>
          <w:numId w:val="6"/>
        </w:numPr>
      </w:pPr>
      <w:r>
        <w:t xml:space="preserve">What kind of information is needed by the participating nodes to arrive at the optimal configurations in a shortest possible amount of time?   </w:t>
      </w:r>
    </w:p>
    <w:p w14:paraId="7A87F1CF" w14:textId="77777777" w:rsidR="00102884" w:rsidRDefault="00102884" w:rsidP="00006623">
      <w:r>
        <w:t>In an earlier email discussion, [1], there were many companies that proposed some kind of assistance information which enable the nodes involved in dual connectivity to decide which configuration to choose. Most of these solutions relied upon some additional information to be conveyed between the nodes.</w:t>
      </w:r>
    </w:p>
    <w:p w14:paraId="40512BD8" w14:textId="77777777" w:rsidR="00006623" w:rsidRDefault="00006623" w:rsidP="00006623">
      <w:r>
        <w:t xml:space="preserve">We propose to include to the </w:t>
      </w:r>
      <w:r w:rsidR="00746599">
        <w:t xml:space="preserve">UE LTE-NR DC </w:t>
      </w:r>
      <w:r>
        <w:t xml:space="preserve">capability some assistance information so that the network nodes </w:t>
      </w:r>
      <w:r w:rsidR="00102884">
        <w:t>can</w:t>
      </w:r>
      <w:r>
        <w:t xml:space="preserve"> use the information during the negotiation process of arriving at the LTE/NR tight in</w:t>
      </w:r>
      <w:r w:rsidR="00746599">
        <w:t>terworking configuration (see [1</w:t>
      </w:r>
      <w:r>
        <w:t>] for discussion on the capability and coordination aspects):</w:t>
      </w:r>
    </w:p>
    <w:p w14:paraId="6095ECCA" w14:textId="77777777" w:rsidR="00006623" w:rsidRPr="006E13D1" w:rsidRDefault="00397F0C" w:rsidP="003F30D2">
      <w:pPr>
        <w:jc w:val="center"/>
      </w:pPr>
      <w:r>
        <w:lastRenderedPageBreak/>
        <w:pict w14:anchorId="36371940">
          <v:shape id="_x0000_i1028" type="#_x0000_t75" style="width:381.45pt;height:344.15pt">
            <v:imagedata r:id="rId19" o:title=""/>
          </v:shape>
        </w:pict>
      </w:r>
      <w:r>
        <w:pict w14:anchorId="302868D0">
          <v:shape id="_x0000_i1029" type="#_x0000_t75" style="width:381.45pt;height:344.15pt">
            <v:imagedata r:id="rId19" o:title=""/>
          </v:shape>
        </w:pict>
      </w:r>
    </w:p>
    <w:p w14:paraId="40343043" w14:textId="300B48AB" w:rsidR="00006623" w:rsidRDefault="00006623" w:rsidP="00006623">
      <w:pPr>
        <w:pStyle w:val="TF"/>
      </w:pPr>
      <w:r w:rsidRPr="006E13D1">
        <w:t xml:space="preserve">Figure </w:t>
      </w:r>
      <w:r w:rsidR="00DB080E">
        <w:t>7</w:t>
      </w:r>
      <w:r w:rsidR="00292D03">
        <w:t>-</w:t>
      </w:r>
      <w:r>
        <w:t>2</w:t>
      </w:r>
      <w:r w:rsidRPr="006E13D1">
        <w:t xml:space="preserve">: </w:t>
      </w:r>
      <w:r>
        <w:t>Performance indicator for LTE/NR tight interworking</w:t>
      </w:r>
    </w:p>
    <w:p w14:paraId="2D2C4D70" w14:textId="23EE40F9" w:rsidR="00006623" w:rsidRDefault="00006623" w:rsidP="00006623">
      <w:r>
        <w:lastRenderedPageBreak/>
        <w:t xml:space="preserve">The basic procedure in Figure </w:t>
      </w:r>
      <w:r w:rsidR="00842BA5">
        <w:t>7-</w:t>
      </w:r>
      <w:r>
        <w:t>2 comprise of the following steps:</w:t>
      </w:r>
    </w:p>
    <w:p w14:paraId="17A38606" w14:textId="77777777" w:rsidR="00006623" w:rsidRDefault="00006623" w:rsidP="00006623">
      <w:pPr>
        <w:pStyle w:val="ListParagraph"/>
        <w:numPr>
          <w:ilvl w:val="0"/>
          <w:numId w:val="5"/>
        </w:numPr>
      </w:pPr>
      <w:r>
        <w:t xml:space="preserve">The UE capabilities for tight interworking contain some additional information which indicate the maximal performance for the other system pertaining to a given combination. E.g., </w:t>
      </w:r>
    </w:p>
    <w:p w14:paraId="775960D4" w14:textId="77777777" w:rsidR="00006623" w:rsidRDefault="00006623" w:rsidP="00006623">
      <w:pPr>
        <w:pStyle w:val="ListParagraph"/>
        <w:numPr>
          <w:ilvl w:val="1"/>
          <w:numId w:val="5"/>
        </w:numPr>
      </w:pPr>
      <w:r>
        <w:t xml:space="preserve">The indication may refer to an index into a description table which contains detailed parameters describing the performance of the configuration of the other system (in terms of throughput as an example). </w:t>
      </w:r>
    </w:p>
    <w:p w14:paraId="3AE49E40" w14:textId="77777777" w:rsidR="00006623" w:rsidRDefault="00006623" w:rsidP="00006623">
      <w:pPr>
        <w:pStyle w:val="ListParagraph"/>
        <w:numPr>
          <w:ilvl w:val="0"/>
          <w:numId w:val="5"/>
        </w:numPr>
      </w:pPr>
      <w:r w:rsidRPr="00AA788A">
        <w:rPr>
          <w:b/>
        </w:rPr>
        <w:t xml:space="preserve">Step 1: </w:t>
      </w:r>
      <w:r>
        <w:t xml:space="preserve">When master node requests LTE/NR </w:t>
      </w:r>
      <w:r w:rsidR="00F70C92">
        <w:t>DC</w:t>
      </w:r>
      <w:r>
        <w:t xml:space="preserve">, it uses the UE capability information to determine whether a given tight interworking band combination can meet the expected performance. </w:t>
      </w:r>
    </w:p>
    <w:p w14:paraId="6F97D331" w14:textId="77777777" w:rsidR="00006623" w:rsidRDefault="00006623" w:rsidP="00006623">
      <w:pPr>
        <w:pStyle w:val="ListParagraph"/>
        <w:numPr>
          <w:ilvl w:val="0"/>
          <w:numId w:val="5"/>
        </w:numPr>
      </w:pPr>
      <w:r w:rsidRPr="00AA788A">
        <w:rPr>
          <w:b/>
        </w:rPr>
        <w:t xml:space="preserve">Step 2: </w:t>
      </w:r>
      <w:r>
        <w:t xml:space="preserve">The master node indicates with an explicit query within the LTE/NR </w:t>
      </w:r>
      <w:r w:rsidR="0024310C">
        <w:t>DC</w:t>
      </w:r>
      <w:r>
        <w:t xml:space="preserve"> request what the desired performance from the secondary node is. </w:t>
      </w:r>
    </w:p>
    <w:p w14:paraId="2E8DE5C1" w14:textId="77777777" w:rsidR="00006623" w:rsidRDefault="00006623" w:rsidP="00006623">
      <w:pPr>
        <w:pStyle w:val="ListParagraph"/>
        <w:numPr>
          <w:ilvl w:val="0"/>
          <w:numId w:val="5"/>
        </w:numPr>
      </w:pPr>
      <w:r w:rsidRPr="00AA788A">
        <w:rPr>
          <w:b/>
        </w:rPr>
        <w:t xml:space="preserve">Step </w:t>
      </w:r>
      <w:r>
        <w:rPr>
          <w:b/>
        </w:rPr>
        <w:t>3</w:t>
      </w:r>
      <w:r w:rsidRPr="00AA788A">
        <w:rPr>
          <w:b/>
        </w:rPr>
        <w:t xml:space="preserve">: </w:t>
      </w:r>
      <w:r>
        <w:t xml:space="preserve">The secondary node uses the configuration from master node and the requested performance assistance information to determine which configuration to choose. </w:t>
      </w:r>
    </w:p>
    <w:p w14:paraId="14B3E6C5" w14:textId="77777777" w:rsidR="00006623" w:rsidRDefault="00006623" w:rsidP="00006623">
      <w:pPr>
        <w:pStyle w:val="ListParagraph"/>
        <w:numPr>
          <w:ilvl w:val="0"/>
          <w:numId w:val="5"/>
        </w:numPr>
      </w:pPr>
      <w:r w:rsidRPr="00AA788A">
        <w:rPr>
          <w:b/>
        </w:rPr>
        <w:t xml:space="preserve">Step 4: </w:t>
      </w:r>
      <w:r>
        <w:t>When accepting the request, the secondary node indicates its view of the expected performance of the configuration to the master node.</w:t>
      </w:r>
    </w:p>
    <w:p w14:paraId="54A8DC3F" w14:textId="77777777" w:rsidR="00006623" w:rsidRDefault="00006623" w:rsidP="00006623">
      <w:pPr>
        <w:pStyle w:val="ListParagraph"/>
        <w:numPr>
          <w:ilvl w:val="0"/>
          <w:numId w:val="5"/>
        </w:numPr>
      </w:pPr>
      <w:r w:rsidRPr="0024310C">
        <w:rPr>
          <w:b/>
        </w:rPr>
        <w:t>Step 5:</w:t>
      </w:r>
      <w:r>
        <w:t xml:space="preserve"> The master node proceeds with the LTE/NR configuration selection based on the response. The master node may request UE to provide updated measured performance information of NR performance, and also may in turn provide master node performance information to secondary node.</w:t>
      </w:r>
    </w:p>
    <w:p w14:paraId="6D163E11" w14:textId="0C9F6C62" w:rsidR="00737723" w:rsidRDefault="00520017" w:rsidP="000A3BAE">
      <w:pPr>
        <w:jc w:val="center"/>
      </w:pPr>
      <w:r>
        <w:object w:dxaOrig="9239" w:dyaOrig="8219" w14:anchorId="036C3460">
          <v:shape id="_x0000_i1030" type="#_x0000_t75" style="width:463.3pt;height:411pt" o:ole="">
            <v:imagedata r:id="rId20" o:title=""/>
          </v:shape>
          <o:OLEObject Type="Embed" ProgID="Visio.Drawing.11" ShapeID="_x0000_i1030" DrawAspect="Content" ObjectID="_1559204667" r:id="rId21"/>
        </w:object>
      </w:r>
    </w:p>
    <w:p w14:paraId="0AA64322" w14:textId="13A28FF1" w:rsidR="00737723" w:rsidRDefault="00737723" w:rsidP="00737723">
      <w:pPr>
        <w:jc w:val="center"/>
      </w:pPr>
      <w:r>
        <w:rPr>
          <w:rFonts w:ascii="Arial" w:hAnsi="Arial"/>
          <w:b/>
        </w:rPr>
        <w:t xml:space="preserve">Figure </w:t>
      </w:r>
      <w:r w:rsidR="00DB080E">
        <w:rPr>
          <w:rFonts w:ascii="Arial" w:hAnsi="Arial"/>
          <w:b/>
        </w:rPr>
        <w:t>7</w:t>
      </w:r>
      <w:r>
        <w:rPr>
          <w:rFonts w:ascii="Arial" w:hAnsi="Arial"/>
          <w:b/>
        </w:rPr>
        <w:t>-3</w:t>
      </w:r>
      <w:r w:rsidRPr="00B13B15">
        <w:rPr>
          <w:rFonts w:ascii="Arial" w:hAnsi="Arial"/>
          <w:b/>
        </w:rPr>
        <w:t xml:space="preserve">: </w:t>
      </w:r>
      <w:r>
        <w:rPr>
          <w:rFonts w:ascii="Arial" w:hAnsi="Arial"/>
          <w:b/>
        </w:rPr>
        <w:t>Signalling assistance information</w:t>
      </w:r>
      <w:r w:rsidR="00A50D71">
        <w:rPr>
          <w:rFonts w:ascii="Arial" w:hAnsi="Arial"/>
          <w:b/>
        </w:rPr>
        <w:t xml:space="preserve"> in EN-DC</w:t>
      </w:r>
    </w:p>
    <w:p w14:paraId="276A1797" w14:textId="77777777" w:rsidR="00006623" w:rsidRDefault="00006623" w:rsidP="00323F46">
      <w:r>
        <w:t>Both master and secondary nodes can request periodic updates of measured performance information for the purposes of monitoring how well the LTE-NR is performing.</w:t>
      </w:r>
    </w:p>
    <w:p w14:paraId="58D23925" w14:textId="343EE218" w:rsidR="00E82507" w:rsidRDefault="00E82507" w:rsidP="00323F46">
      <w:r>
        <w:t>Based on the detailed discussion above, we make the following proposals:</w:t>
      </w:r>
    </w:p>
    <w:p w14:paraId="391477D5" w14:textId="6527FAB6" w:rsidR="00DB080E" w:rsidRDefault="00DB080E" w:rsidP="00DB080E">
      <w:pPr>
        <w:rPr>
          <w:b/>
        </w:rPr>
      </w:pPr>
      <w:r w:rsidRPr="005F1F6B">
        <w:rPr>
          <w:b/>
        </w:rPr>
        <w:lastRenderedPageBreak/>
        <w:t>Proposal</w:t>
      </w:r>
      <w:r>
        <w:rPr>
          <w:b/>
        </w:rPr>
        <w:t xml:space="preserve"> </w:t>
      </w:r>
      <w:r w:rsidR="00E82507">
        <w:rPr>
          <w:b/>
        </w:rPr>
        <w:t>7</w:t>
      </w:r>
      <w:r w:rsidRPr="005F1F6B">
        <w:rPr>
          <w:b/>
        </w:rPr>
        <w:t>:</w:t>
      </w:r>
      <w:r>
        <w:rPr>
          <w:b/>
        </w:rPr>
        <w:t xml:space="preserve"> Include performance indication information as part of the UE capability for LTE/NR tight interworking.</w:t>
      </w:r>
    </w:p>
    <w:p w14:paraId="61460529" w14:textId="55DDF244" w:rsidR="00DB080E" w:rsidRDefault="00DB080E" w:rsidP="00DB080E">
      <w:pPr>
        <w:rPr>
          <w:b/>
        </w:rPr>
      </w:pPr>
      <w:r w:rsidRPr="005F1F6B">
        <w:rPr>
          <w:b/>
        </w:rPr>
        <w:t>Proposal</w:t>
      </w:r>
      <w:r w:rsidR="00E82507">
        <w:rPr>
          <w:b/>
        </w:rPr>
        <w:t xml:space="preserve"> 8</w:t>
      </w:r>
      <w:r w:rsidRPr="005F1F6B">
        <w:rPr>
          <w:b/>
        </w:rPr>
        <w:t>:</w:t>
      </w:r>
      <w:r>
        <w:rPr>
          <w:b/>
        </w:rPr>
        <w:t xml:space="preserve"> Agree that the performance indication information contains at least an indi</w:t>
      </w:r>
      <w:r w:rsidR="00391497">
        <w:rPr>
          <w:b/>
        </w:rPr>
        <w:t xml:space="preserve">cation of maximum/peak/expected </w:t>
      </w:r>
      <w:r>
        <w:rPr>
          <w:b/>
        </w:rPr>
        <w:t xml:space="preserve">throughput </w:t>
      </w:r>
      <w:r w:rsidR="00391497">
        <w:rPr>
          <w:b/>
        </w:rPr>
        <w:t>linked to a</w:t>
      </w:r>
      <w:r>
        <w:rPr>
          <w:b/>
        </w:rPr>
        <w:t xml:space="preserve"> capability (e.g., band combination).</w:t>
      </w:r>
    </w:p>
    <w:p w14:paraId="5640ED7B" w14:textId="2B1E4595" w:rsidR="00DB080E" w:rsidRDefault="00DB080E" w:rsidP="00DB080E">
      <w:pPr>
        <w:rPr>
          <w:b/>
        </w:rPr>
      </w:pPr>
      <w:r w:rsidRPr="005F1F6B">
        <w:rPr>
          <w:b/>
        </w:rPr>
        <w:t>Proposal</w:t>
      </w:r>
      <w:r>
        <w:rPr>
          <w:b/>
        </w:rPr>
        <w:t xml:space="preserve"> </w:t>
      </w:r>
      <w:r w:rsidR="00E82507">
        <w:rPr>
          <w:b/>
        </w:rPr>
        <w:t>9</w:t>
      </w:r>
      <w:r w:rsidRPr="005F1F6B">
        <w:rPr>
          <w:b/>
        </w:rPr>
        <w:t>:</w:t>
      </w:r>
      <w:r>
        <w:rPr>
          <w:b/>
        </w:rPr>
        <w:t xml:space="preserve"> Exchange performance indication information between master and secondary nodes in LTE/NR </w:t>
      </w:r>
      <w:r w:rsidR="00E82507">
        <w:rPr>
          <w:b/>
        </w:rPr>
        <w:t>DC</w:t>
      </w:r>
      <w:r>
        <w:rPr>
          <w:b/>
        </w:rPr>
        <w:t xml:space="preserve"> procedures.</w:t>
      </w:r>
    </w:p>
    <w:p w14:paraId="13E35DA1" w14:textId="210CEB6F" w:rsidR="00DB080E" w:rsidRDefault="00DB080E" w:rsidP="00DB080E">
      <w:pPr>
        <w:rPr>
          <w:b/>
        </w:rPr>
      </w:pPr>
      <w:r w:rsidRPr="00E11568">
        <w:rPr>
          <w:b/>
        </w:rPr>
        <w:t xml:space="preserve">Proposal </w:t>
      </w:r>
      <w:r w:rsidR="00E82507">
        <w:rPr>
          <w:b/>
        </w:rPr>
        <w:t>10</w:t>
      </w:r>
      <w:r w:rsidRPr="00E11568">
        <w:rPr>
          <w:b/>
        </w:rPr>
        <w:t>: Agree to the following prin</w:t>
      </w:r>
      <w:r>
        <w:rPr>
          <w:b/>
        </w:rPr>
        <w:t>ciple of capability coordination using performance indication information</w:t>
      </w:r>
      <w:r w:rsidRPr="00E11568">
        <w:rPr>
          <w:b/>
        </w:rPr>
        <w:t>; A node selects an index by interpreting its own capability</w:t>
      </w:r>
      <w:r>
        <w:rPr>
          <w:b/>
        </w:rPr>
        <w:t xml:space="preserve"> and a list of possible target configurations based on the performance indication information</w:t>
      </w:r>
      <w:r w:rsidRPr="00E11568">
        <w:rPr>
          <w:b/>
        </w:rPr>
        <w:t xml:space="preserve"> and informs the other node of this</w:t>
      </w:r>
      <w:r w:rsidR="00E82507">
        <w:rPr>
          <w:b/>
        </w:rPr>
        <w:t xml:space="preserve"> choice</w:t>
      </w:r>
      <w:r w:rsidRPr="00E11568">
        <w:rPr>
          <w:b/>
        </w:rPr>
        <w:t>. The other node is then able to find out which are the allowed combinations with this index by interpreting its own capability.</w:t>
      </w:r>
    </w:p>
    <w:p w14:paraId="148BAA14" w14:textId="3C64C4CE" w:rsidR="00DB080E" w:rsidRDefault="00DB080E" w:rsidP="00DB080E">
      <w:pPr>
        <w:rPr>
          <w:b/>
        </w:rPr>
      </w:pPr>
      <w:r w:rsidRPr="00E11568">
        <w:rPr>
          <w:b/>
        </w:rPr>
        <w:t xml:space="preserve">Proposal </w:t>
      </w:r>
      <w:r w:rsidR="00E82507">
        <w:rPr>
          <w:b/>
        </w:rPr>
        <w:t>11</w:t>
      </w:r>
      <w:r w:rsidRPr="00E11568">
        <w:rPr>
          <w:b/>
        </w:rPr>
        <w:t xml:space="preserve">: </w:t>
      </w:r>
      <w:r>
        <w:rPr>
          <w:b/>
        </w:rPr>
        <w:t>Agree that the MN can request the target configuration with a priority attached to its request.</w:t>
      </w:r>
    </w:p>
    <w:p w14:paraId="79C91E79" w14:textId="2AA6F47B" w:rsidR="00DB080E" w:rsidRDefault="00781AC4" w:rsidP="00DB080E">
      <w:r w:rsidRPr="00E82507">
        <w:rPr>
          <w:b/>
        </w:rPr>
        <w:t xml:space="preserve">Proposal 12: Agree that the SN </w:t>
      </w:r>
      <w:r w:rsidRPr="00E4365E">
        <w:rPr>
          <w:b/>
        </w:rPr>
        <w:t>can indicate to the MN the performance achievable with a proposed reconfiguration</w:t>
      </w:r>
      <w:r>
        <w:rPr>
          <w:b/>
        </w:rPr>
        <w:t>.</w:t>
      </w:r>
    </w:p>
    <w:p w14:paraId="2C17C416" w14:textId="77777777" w:rsidR="00CD4C7B" w:rsidRPr="006E13D1" w:rsidRDefault="00E11568" w:rsidP="00CD4C7B">
      <w:pPr>
        <w:pStyle w:val="Heading1"/>
      </w:pPr>
      <w:r>
        <w:t>8</w:t>
      </w:r>
      <w:r w:rsidR="00CD4C7B" w:rsidRPr="006E13D1">
        <w:tab/>
      </w:r>
      <w:r w:rsidR="00AA1D98">
        <w:t>Conclusion</w:t>
      </w:r>
    </w:p>
    <w:p w14:paraId="4432353F" w14:textId="77777777" w:rsidR="00520017" w:rsidRDefault="0024310C" w:rsidP="00CD4C7B">
      <w:r>
        <w:t xml:space="preserve">In this </w:t>
      </w:r>
      <w:r w:rsidR="00E82507">
        <w:t>contribution,</w:t>
      </w:r>
      <w:r>
        <w:t xml:space="preserve"> we have discussed an approach of linking the LTE/NR DC capabilities using indices. Even though both the approaches have some relative merits and demerits, the Option 2 which relies on linking capabilities seems promising for capability signalling from the viewpoint of reduced size and greater flexibility. Using the same model, </w:t>
      </w:r>
      <w:r w:rsidR="00433B58">
        <w:t xml:space="preserve">we have discussed a simple solution of how the master node may be able to estimate whether LTE/NR </w:t>
      </w:r>
      <w:r>
        <w:t>DC</w:t>
      </w:r>
      <w:r w:rsidR="00433B58">
        <w:t xml:space="preserve"> should be attempted for a given configuration, especially with the working assumption that case the master and secondary nodes are not required to understand/comprehend each other’s capabilities. </w:t>
      </w:r>
    </w:p>
    <w:p w14:paraId="7489EB2D" w14:textId="77777777" w:rsidR="00520017" w:rsidRDefault="00520017" w:rsidP="00520017">
      <w:pPr>
        <w:rPr>
          <w:b/>
        </w:rPr>
      </w:pPr>
      <w:r w:rsidRPr="00A802DF">
        <w:rPr>
          <w:b/>
        </w:rPr>
        <w:t>Observation 1:</w:t>
      </w:r>
      <w:r>
        <w:rPr>
          <w:b/>
        </w:rPr>
        <w:t xml:space="preserve"> There are 2 options for capability structuring; </w:t>
      </w:r>
    </w:p>
    <w:p w14:paraId="6A101B4D" w14:textId="77777777" w:rsidR="00520017" w:rsidRDefault="00520017" w:rsidP="00520017">
      <w:pPr>
        <w:ind w:left="1136"/>
        <w:rPr>
          <w:b/>
        </w:rPr>
      </w:pPr>
      <w:r>
        <w:rPr>
          <w:b/>
        </w:rPr>
        <w:t>- Option 1: Separate container approach - joint signalling</w:t>
      </w:r>
    </w:p>
    <w:p w14:paraId="06F43FDA" w14:textId="77777777" w:rsidR="00520017" w:rsidRDefault="00520017" w:rsidP="00520017">
      <w:pPr>
        <w:ind w:left="1136"/>
        <w:rPr>
          <w:b/>
        </w:rPr>
      </w:pPr>
      <w:r>
        <w:rPr>
          <w:b/>
        </w:rPr>
        <w:t>- Option 2: Tagging approach - no extra container, distributed signalling</w:t>
      </w:r>
    </w:p>
    <w:p w14:paraId="149211BC" w14:textId="77777777" w:rsidR="00520017" w:rsidRDefault="00520017" w:rsidP="00520017">
      <w:pPr>
        <w:rPr>
          <w:b/>
        </w:rPr>
      </w:pPr>
      <w:r>
        <w:rPr>
          <w:b/>
        </w:rPr>
        <w:t>Observation 2: The approach of tagging capabilites (for band combinations) allows capability details to remain within the RAT while allowing clear linking.</w:t>
      </w:r>
    </w:p>
    <w:p w14:paraId="42BF0D86" w14:textId="77777777" w:rsidR="00520017" w:rsidRDefault="00520017" w:rsidP="00520017">
      <w:pPr>
        <w:rPr>
          <w:b/>
        </w:rPr>
      </w:pPr>
      <w:r>
        <w:rPr>
          <w:b/>
        </w:rPr>
        <w:t>Observation 3: Some duplication in signalling is needed in both options:</w:t>
      </w:r>
    </w:p>
    <w:p w14:paraId="3676984F" w14:textId="77777777" w:rsidR="00520017" w:rsidRPr="003E4048" w:rsidRDefault="00520017" w:rsidP="00520017">
      <w:pPr>
        <w:pStyle w:val="ListParagraph"/>
        <w:numPr>
          <w:ilvl w:val="0"/>
          <w:numId w:val="6"/>
        </w:numPr>
        <w:rPr>
          <w:b/>
        </w:rPr>
      </w:pPr>
      <w:r>
        <w:rPr>
          <w:b/>
        </w:rPr>
        <w:t>For Option 1, t</w:t>
      </w:r>
      <w:r w:rsidRPr="003E4048">
        <w:rPr>
          <w:b/>
        </w:rPr>
        <w:t xml:space="preserve">he </w:t>
      </w:r>
      <w:r>
        <w:rPr>
          <w:b/>
        </w:rPr>
        <w:t>information</w:t>
      </w:r>
      <w:r w:rsidRPr="003E4048">
        <w:rPr>
          <w:b/>
        </w:rPr>
        <w:t xml:space="preserve"> would have to be duplicated </w:t>
      </w:r>
      <w:r>
        <w:rPr>
          <w:b/>
        </w:rPr>
        <w:t>leading to l</w:t>
      </w:r>
      <w:r w:rsidRPr="003E4048">
        <w:rPr>
          <w:b/>
        </w:rPr>
        <w:t>arge amount of signalling</w:t>
      </w:r>
      <w:r>
        <w:rPr>
          <w:b/>
        </w:rPr>
        <w:t xml:space="preserve"> and clear size increase.</w:t>
      </w:r>
    </w:p>
    <w:p w14:paraId="7EBDE53D" w14:textId="77777777" w:rsidR="00520017" w:rsidRDefault="00520017" w:rsidP="00520017">
      <w:pPr>
        <w:pStyle w:val="ListParagraph"/>
        <w:numPr>
          <w:ilvl w:val="0"/>
          <w:numId w:val="6"/>
        </w:numPr>
        <w:rPr>
          <w:b/>
        </w:rPr>
      </w:pPr>
      <w:r>
        <w:rPr>
          <w:b/>
        </w:rPr>
        <w:t>For Option 2, f</w:t>
      </w:r>
      <w:r w:rsidRPr="003E4048">
        <w:rPr>
          <w:b/>
        </w:rPr>
        <w:t xml:space="preserve">or independent LTE &amp; NR containers, duplication is required for linking the </w:t>
      </w:r>
      <w:r>
        <w:rPr>
          <w:b/>
        </w:rPr>
        <w:t xml:space="preserve">information together as well as LTE/NR </w:t>
      </w:r>
      <w:r w:rsidRPr="003E4048">
        <w:rPr>
          <w:b/>
        </w:rPr>
        <w:t>specific restrictions for each combination.</w:t>
      </w:r>
    </w:p>
    <w:p w14:paraId="56104D7E" w14:textId="458E2D24" w:rsidR="00520017" w:rsidRDefault="00520017" w:rsidP="00520017">
      <w:pPr>
        <w:rPr>
          <w:b/>
        </w:rPr>
      </w:pPr>
      <w:r>
        <w:rPr>
          <w:b/>
        </w:rPr>
        <w:t>Observation 4: E</w:t>
      </w:r>
      <w:r w:rsidRPr="00B94581">
        <w:rPr>
          <w:b/>
        </w:rPr>
        <w:t>mbedding the LTE/NR DC capabilities within the LTE and NR capabilities seems more promising</w:t>
      </w:r>
      <w:r>
        <w:rPr>
          <w:b/>
        </w:rPr>
        <w:t>.</w:t>
      </w:r>
    </w:p>
    <w:p w14:paraId="4FB34374" w14:textId="1245050D" w:rsidR="00520017" w:rsidRDefault="00520017" w:rsidP="00520017">
      <w:r>
        <w:t>Based on the above discussions, we propose the following:</w:t>
      </w:r>
    </w:p>
    <w:p w14:paraId="01167CE9" w14:textId="1D93DBD7" w:rsidR="00520017" w:rsidRDefault="00520017" w:rsidP="00520017">
      <w:pPr>
        <w:pStyle w:val="TF"/>
        <w:jc w:val="left"/>
        <w:rPr>
          <w:rFonts w:ascii="Times New Roman" w:hAnsi="Times New Roman"/>
        </w:rPr>
      </w:pPr>
      <w:r w:rsidRPr="00006623">
        <w:rPr>
          <w:rFonts w:ascii="Times New Roman" w:hAnsi="Times New Roman"/>
        </w:rPr>
        <w:t xml:space="preserve">Proposal 1: </w:t>
      </w:r>
      <w:r>
        <w:rPr>
          <w:rFonts w:ascii="Times New Roman" w:hAnsi="Times New Roman"/>
        </w:rPr>
        <w:t>LTE and NR allowed band combinations for LTE/NR DC are</w:t>
      </w:r>
      <w:r w:rsidRPr="00006623">
        <w:rPr>
          <w:rFonts w:ascii="Times New Roman" w:hAnsi="Times New Roman"/>
        </w:rPr>
        <w:t xml:space="preserve"> mutually linked to each other using </w:t>
      </w:r>
      <w:r>
        <w:rPr>
          <w:rFonts w:ascii="Times New Roman" w:hAnsi="Times New Roman"/>
        </w:rPr>
        <w:t xml:space="preserve">allowed band combination </w:t>
      </w:r>
      <w:r w:rsidR="000C3ABB">
        <w:rPr>
          <w:rFonts w:ascii="Times New Roman" w:hAnsi="Times New Roman"/>
        </w:rPr>
        <w:t>indexes</w:t>
      </w:r>
      <w:r>
        <w:rPr>
          <w:rFonts w:ascii="Times New Roman" w:hAnsi="Times New Roman"/>
        </w:rPr>
        <w:t>.</w:t>
      </w:r>
    </w:p>
    <w:p w14:paraId="56C2B549" w14:textId="77777777" w:rsidR="00520017" w:rsidRDefault="00520017" w:rsidP="00520017">
      <w:pPr>
        <w:pStyle w:val="TF"/>
        <w:jc w:val="left"/>
        <w:rPr>
          <w:rFonts w:ascii="Times New Roman" w:hAnsi="Times New Roman"/>
        </w:rPr>
      </w:pPr>
      <w:r w:rsidRPr="00006623">
        <w:rPr>
          <w:rFonts w:ascii="Times New Roman" w:hAnsi="Times New Roman"/>
        </w:rPr>
        <w:t xml:space="preserve">Proposal 2: </w:t>
      </w:r>
      <w:r>
        <w:rPr>
          <w:rFonts w:ascii="Times New Roman" w:hAnsi="Times New Roman"/>
        </w:rPr>
        <w:t xml:space="preserve">LTE/NR DC band combinations are coordinated as follows: </w:t>
      </w:r>
      <w:r w:rsidRPr="00006623">
        <w:rPr>
          <w:rFonts w:ascii="Times New Roman" w:hAnsi="Times New Roman"/>
        </w:rPr>
        <w:t>A node selects an index by interpreting its own capability and informs the other node of this index. The other node is then able to find out which are the allow</w:t>
      </w:r>
      <w:r>
        <w:rPr>
          <w:rFonts w:ascii="Times New Roman" w:hAnsi="Times New Roman"/>
        </w:rPr>
        <w:t xml:space="preserve">ed combinations with this index </w:t>
      </w:r>
      <w:r w:rsidRPr="00006623">
        <w:rPr>
          <w:rFonts w:ascii="Times New Roman" w:hAnsi="Times New Roman"/>
        </w:rPr>
        <w:t>by interpreting its own capability</w:t>
      </w:r>
      <w:r>
        <w:rPr>
          <w:rFonts w:ascii="Times New Roman" w:hAnsi="Times New Roman"/>
        </w:rPr>
        <w:t>.</w:t>
      </w:r>
    </w:p>
    <w:p w14:paraId="2914E9A0" w14:textId="77777777" w:rsidR="00520017" w:rsidRDefault="00520017" w:rsidP="00520017">
      <w:pPr>
        <w:pStyle w:val="TH"/>
        <w:jc w:val="left"/>
        <w:rPr>
          <w:rFonts w:ascii="Times New Roman" w:hAnsi="Times New Roman"/>
        </w:rPr>
      </w:pPr>
      <w:r w:rsidRPr="00842BA5">
        <w:rPr>
          <w:rFonts w:ascii="Times New Roman" w:hAnsi="Times New Roman"/>
        </w:rPr>
        <w:lastRenderedPageBreak/>
        <w:t xml:space="preserve">Proposal 3: An EN-DC UE category </w:t>
      </w:r>
      <w:r>
        <w:rPr>
          <w:rFonts w:ascii="Times New Roman" w:hAnsi="Times New Roman"/>
        </w:rPr>
        <w:t xml:space="preserve">(DL/UL) </w:t>
      </w:r>
      <w:r w:rsidRPr="00842BA5">
        <w:rPr>
          <w:rFonts w:ascii="Times New Roman" w:hAnsi="Times New Roman"/>
        </w:rPr>
        <w:t xml:space="preserve">is a union of </w:t>
      </w:r>
      <w:r>
        <w:rPr>
          <w:rFonts w:ascii="Times New Roman" w:hAnsi="Times New Roman"/>
        </w:rPr>
        <w:t xml:space="preserve">a standalone LTE category and a standalone NR category. </w:t>
      </w:r>
    </w:p>
    <w:p w14:paraId="22537751" w14:textId="77777777" w:rsidR="00520017" w:rsidRDefault="00520017" w:rsidP="00520017">
      <w:pPr>
        <w:pStyle w:val="TH"/>
        <w:jc w:val="left"/>
        <w:rPr>
          <w:rFonts w:ascii="Times New Roman" w:hAnsi="Times New Roman"/>
        </w:rPr>
      </w:pPr>
      <w:r w:rsidRPr="00E94539">
        <w:rPr>
          <w:rFonts w:ascii="Times New Roman" w:hAnsi="Times New Roman"/>
        </w:rPr>
        <w:t xml:space="preserve">Proposal </w:t>
      </w:r>
      <w:r>
        <w:rPr>
          <w:rFonts w:ascii="Times New Roman" w:hAnsi="Times New Roman"/>
        </w:rPr>
        <w:t>4</w:t>
      </w:r>
      <w:r w:rsidRPr="00E94539">
        <w:rPr>
          <w:rFonts w:ascii="Times New Roman" w:hAnsi="Times New Roman"/>
        </w:rPr>
        <w:t xml:space="preserve">: </w:t>
      </w:r>
      <w:r>
        <w:rPr>
          <w:rFonts w:ascii="Times New Roman" w:hAnsi="Times New Roman"/>
        </w:rPr>
        <w:t>EN-DC UE category inherited in the union includes;</w:t>
      </w:r>
    </w:p>
    <w:p w14:paraId="7715303F" w14:textId="77777777" w:rsidR="00520017" w:rsidRDefault="00520017" w:rsidP="00520017">
      <w:pPr>
        <w:pStyle w:val="TH"/>
        <w:numPr>
          <w:ilvl w:val="0"/>
          <w:numId w:val="10"/>
        </w:numPr>
        <w:jc w:val="left"/>
        <w:rPr>
          <w:rFonts w:ascii="Times New Roman" w:hAnsi="Times New Roman"/>
        </w:rPr>
      </w:pPr>
      <w:r>
        <w:rPr>
          <w:rFonts w:ascii="Times New Roman" w:hAnsi="Times New Roman"/>
        </w:rPr>
        <w:t xml:space="preserve">Maximum number of bits of </w:t>
      </w:r>
      <w:r w:rsidRPr="003D1B9A">
        <w:rPr>
          <w:rFonts w:ascii="Times New Roman" w:hAnsi="Times New Roman"/>
        </w:rPr>
        <w:t>DL/UL-SCH TB bits received/transmitted within a TTI</w:t>
      </w:r>
      <w:r>
        <w:rPr>
          <w:rFonts w:ascii="Times New Roman" w:hAnsi="Times New Roman"/>
        </w:rPr>
        <w:t xml:space="preserve"> in E-UTRA</w:t>
      </w:r>
    </w:p>
    <w:p w14:paraId="02E8C838" w14:textId="77777777" w:rsidR="00520017" w:rsidRDefault="00520017" w:rsidP="00520017">
      <w:pPr>
        <w:pStyle w:val="TH"/>
        <w:numPr>
          <w:ilvl w:val="0"/>
          <w:numId w:val="10"/>
        </w:numPr>
        <w:jc w:val="left"/>
        <w:rPr>
          <w:rFonts w:ascii="Times New Roman" w:hAnsi="Times New Roman"/>
        </w:rPr>
      </w:pPr>
      <w:r>
        <w:rPr>
          <w:rFonts w:ascii="Times New Roman" w:hAnsi="Times New Roman"/>
        </w:rPr>
        <w:t xml:space="preserve">Maximum number of bits of </w:t>
      </w:r>
      <w:r w:rsidRPr="003D1B9A">
        <w:rPr>
          <w:rFonts w:ascii="Times New Roman" w:hAnsi="Times New Roman"/>
        </w:rPr>
        <w:t>DL/UL-SCH TB bits received/transmitted within a TTI</w:t>
      </w:r>
      <w:r>
        <w:rPr>
          <w:rFonts w:ascii="Times New Roman" w:hAnsi="Times New Roman"/>
        </w:rPr>
        <w:t xml:space="preserve"> in NR</w:t>
      </w:r>
    </w:p>
    <w:p w14:paraId="3755AC0A" w14:textId="77777777" w:rsidR="00520017" w:rsidRDefault="00520017" w:rsidP="00520017">
      <w:pPr>
        <w:pStyle w:val="TH"/>
        <w:numPr>
          <w:ilvl w:val="0"/>
          <w:numId w:val="10"/>
        </w:numPr>
        <w:jc w:val="left"/>
        <w:rPr>
          <w:rFonts w:ascii="Times New Roman" w:hAnsi="Times New Roman"/>
        </w:rPr>
      </w:pPr>
      <w:r>
        <w:rPr>
          <w:rFonts w:ascii="Times New Roman" w:hAnsi="Times New Roman"/>
        </w:rPr>
        <w:t>t</w:t>
      </w:r>
      <w:r w:rsidRPr="003D1B9A">
        <w:rPr>
          <w:rFonts w:ascii="Times New Roman" w:hAnsi="Times New Roman"/>
        </w:rPr>
        <w:t>otal number of soft channel bits</w:t>
      </w:r>
      <w:r>
        <w:rPr>
          <w:rFonts w:ascii="Times New Roman" w:hAnsi="Times New Roman"/>
        </w:rPr>
        <w:t xml:space="preserve"> in E-UTRA</w:t>
      </w:r>
    </w:p>
    <w:p w14:paraId="6CB5CF1A" w14:textId="77777777" w:rsidR="00520017" w:rsidRDefault="00520017" w:rsidP="00520017">
      <w:pPr>
        <w:pStyle w:val="TH"/>
        <w:numPr>
          <w:ilvl w:val="0"/>
          <w:numId w:val="10"/>
        </w:numPr>
        <w:jc w:val="left"/>
        <w:rPr>
          <w:rFonts w:ascii="Times New Roman" w:hAnsi="Times New Roman"/>
        </w:rPr>
      </w:pPr>
      <w:r>
        <w:rPr>
          <w:rFonts w:ascii="Times New Roman" w:hAnsi="Times New Roman"/>
        </w:rPr>
        <w:t>total number of soft channel bits in NR,</w:t>
      </w:r>
    </w:p>
    <w:p w14:paraId="15D716A1" w14:textId="77777777" w:rsidR="00520017" w:rsidRDefault="00520017" w:rsidP="00520017">
      <w:pPr>
        <w:pStyle w:val="TH"/>
        <w:numPr>
          <w:ilvl w:val="0"/>
          <w:numId w:val="10"/>
        </w:numPr>
        <w:jc w:val="left"/>
        <w:rPr>
          <w:rFonts w:ascii="Times New Roman" w:hAnsi="Times New Roman"/>
        </w:rPr>
      </w:pPr>
      <w:r>
        <w:rPr>
          <w:rFonts w:ascii="Times New Roman" w:hAnsi="Times New Roman"/>
        </w:rPr>
        <w:t>t</w:t>
      </w:r>
      <w:r w:rsidRPr="00842BA5">
        <w:rPr>
          <w:rFonts w:ascii="Times New Roman" w:hAnsi="Times New Roman"/>
        </w:rPr>
        <w:t>otal layer 2 buffer size</w:t>
      </w:r>
      <w:r w:rsidRPr="003D1B9A">
        <w:rPr>
          <w:rFonts w:ascii="Times New Roman" w:hAnsi="Times New Roman"/>
        </w:rPr>
        <w:t xml:space="preserve"> across both LTE and NR</w:t>
      </w:r>
      <w:r>
        <w:rPr>
          <w:rFonts w:ascii="Times New Roman" w:hAnsi="Times New Roman"/>
        </w:rPr>
        <w:t xml:space="preserve"> as the linear sum of LTE L2 buffer size and NR L2 buffer size.</w:t>
      </w:r>
    </w:p>
    <w:p w14:paraId="778BCD77" w14:textId="77777777" w:rsidR="00520017" w:rsidRDefault="00520017" w:rsidP="00520017">
      <w:pPr>
        <w:pStyle w:val="TH"/>
        <w:jc w:val="left"/>
        <w:rPr>
          <w:rFonts w:ascii="Times New Roman" w:hAnsi="Times New Roman"/>
        </w:rPr>
      </w:pPr>
      <w:r w:rsidRPr="00E94539">
        <w:rPr>
          <w:rFonts w:ascii="Times New Roman" w:hAnsi="Times New Roman"/>
        </w:rPr>
        <w:t xml:space="preserve">Proposal </w:t>
      </w:r>
      <w:r>
        <w:rPr>
          <w:rFonts w:ascii="Times New Roman" w:hAnsi="Times New Roman"/>
        </w:rPr>
        <w:t>5</w:t>
      </w:r>
      <w:r w:rsidRPr="00E94539">
        <w:rPr>
          <w:rFonts w:ascii="Times New Roman" w:hAnsi="Times New Roman"/>
        </w:rPr>
        <w:t>:</w:t>
      </w:r>
      <w:r>
        <w:rPr>
          <w:rFonts w:ascii="Times New Roman" w:hAnsi="Times New Roman"/>
        </w:rPr>
        <w:t xml:space="preserve"> Each node can know its share from the description of the UE category index; an index points to the union of the standalone LTE and standalone NR UE DL/UL category.</w:t>
      </w:r>
    </w:p>
    <w:p w14:paraId="0E67F185" w14:textId="77777777" w:rsidR="00520017" w:rsidRDefault="00520017" w:rsidP="00520017">
      <w:pPr>
        <w:spacing w:after="160" w:line="259" w:lineRule="auto"/>
        <w:jc w:val="both"/>
        <w:rPr>
          <w:b/>
        </w:rPr>
      </w:pPr>
      <w:r w:rsidRPr="00842BA5">
        <w:rPr>
          <w:b/>
        </w:rPr>
        <w:t>Proposal</w:t>
      </w:r>
      <w:r>
        <w:rPr>
          <w:b/>
        </w:rPr>
        <w:t xml:space="preserve"> 6</w:t>
      </w:r>
      <w:r w:rsidRPr="00842BA5">
        <w:rPr>
          <w:b/>
        </w:rPr>
        <w:t>:</w:t>
      </w:r>
      <w:r>
        <w:rPr>
          <w:b/>
        </w:rPr>
        <w:t xml:space="preserve"> RAN2 waits for RAN1 to make sufficient progress on LTE/NR DC UL Tx power sharing.</w:t>
      </w:r>
    </w:p>
    <w:p w14:paraId="3E86EF9A" w14:textId="77777777" w:rsidR="00520017" w:rsidRDefault="00520017" w:rsidP="00520017">
      <w:pPr>
        <w:rPr>
          <w:b/>
        </w:rPr>
      </w:pPr>
      <w:r w:rsidRPr="005F1F6B">
        <w:rPr>
          <w:b/>
        </w:rPr>
        <w:t>Proposal</w:t>
      </w:r>
      <w:r>
        <w:rPr>
          <w:b/>
        </w:rPr>
        <w:t xml:space="preserve"> 7</w:t>
      </w:r>
      <w:r w:rsidRPr="005F1F6B">
        <w:rPr>
          <w:b/>
        </w:rPr>
        <w:t>:</w:t>
      </w:r>
      <w:r>
        <w:rPr>
          <w:b/>
        </w:rPr>
        <w:t xml:space="preserve"> Include performance indication information as part of the UE capability for LTE/NR tight interworking.</w:t>
      </w:r>
    </w:p>
    <w:p w14:paraId="59A2CD5F" w14:textId="77777777" w:rsidR="00520017" w:rsidRDefault="00520017" w:rsidP="00520017">
      <w:pPr>
        <w:rPr>
          <w:b/>
        </w:rPr>
      </w:pPr>
      <w:r w:rsidRPr="005F1F6B">
        <w:rPr>
          <w:b/>
        </w:rPr>
        <w:t>Proposal</w:t>
      </w:r>
      <w:r>
        <w:rPr>
          <w:b/>
        </w:rPr>
        <w:t xml:space="preserve"> 8</w:t>
      </w:r>
      <w:r w:rsidRPr="005F1F6B">
        <w:rPr>
          <w:b/>
        </w:rPr>
        <w:t>:</w:t>
      </w:r>
      <w:r>
        <w:rPr>
          <w:b/>
        </w:rPr>
        <w:t xml:space="preserve"> Agree that the performance indication information contains at least an indication of maximum/peak/expected throughput linked to a capability (e.g., band combination).</w:t>
      </w:r>
    </w:p>
    <w:p w14:paraId="55AD9AF7" w14:textId="77777777" w:rsidR="00520017" w:rsidRDefault="00520017" w:rsidP="00520017">
      <w:pPr>
        <w:rPr>
          <w:b/>
        </w:rPr>
      </w:pPr>
      <w:r w:rsidRPr="005F1F6B">
        <w:rPr>
          <w:b/>
        </w:rPr>
        <w:t>Proposal</w:t>
      </w:r>
      <w:r>
        <w:rPr>
          <w:b/>
        </w:rPr>
        <w:t xml:space="preserve"> 9</w:t>
      </w:r>
      <w:r w:rsidRPr="005F1F6B">
        <w:rPr>
          <w:b/>
        </w:rPr>
        <w:t>:</w:t>
      </w:r>
      <w:r>
        <w:rPr>
          <w:b/>
        </w:rPr>
        <w:t xml:space="preserve"> Exchange performance indication information between master and secondary nodes in LTE/NR DC procedures.</w:t>
      </w:r>
    </w:p>
    <w:p w14:paraId="001ECD53" w14:textId="77777777" w:rsidR="00520017" w:rsidRDefault="00520017" w:rsidP="00520017">
      <w:pPr>
        <w:rPr>
          <w:b/>
        </w:rPr>
      </w:pPr>
      <w:r w:rsidRPr="00E11568">
        <w:rPr>
          <w:b/>
        </w:rPr>
        <w:t xml:space="preserve">Proposal </w:t>
      </w:r>
      <w:r>
        <w:rPr>
          <w:b/>
        </w:rPr>
        <w:t>10</w:t>
      </w:r>
      <w:r w:rsidRPr="00E11568">
        <w:rPr>
          <w:b/>
        </w:rPr>
        <w:t>: Agree to the following prin</w:t>
      </w:r>
      <w:r>
        <w:rPr>
          <w:b/>
        </w:rPr>
        <w:t>ciple of capability coordination using performance indication information</w:t>
      </w:r>
      <w:r w:rsidRPr="00E11568">
        <w:rPr>
          <w:b/>
        </w:rPr>
        <w:t>; A node selects an index by interpreting its own capability</w:t>
      </w:r>
      <w:r>
        <w:rPr>
          <w:b/>
        </w:rPr>
        <w:t xml:space="preserve"> and a list of possible target configurations based on the performance indication information</w:t>
      </w:r>
      <w:r w:rsidRPr="00E11568">
        <w:rPr>
          <w:b/>
        </w:rPr>
        <w:t xml:space="preserve"> and informs the other node of this</w:t>
      </w:r>
      <w:r>
        <w:rPr>
          <w:b/>
        </w:rPr>
        <w:t xml:space="preserve"> choice</w:t>
      </w:r>
      <w:r w:rsidRPr="00E11568">
        <w:rPr>
          <w:b/>
        </w:rPr>
        <w:t>. The other node is then able to find out which are the allowed combinations with this index by interpreting its own capability.</w:t>
      </w:r>
    </w:p>
    <w:p w14:paraId="38B7A997" w14:textId="77777777" w:rsidR="00520017" w:rsidRDefault="00520017" w:rsidP="00520017">
      <w:pPr>
        <w:rPr>
          <w:b/>
        </w:rPr>
      </w:pPr>
      <w:r w:rsidRPr="00E11568">
        <w:rPr>
          <w:b/>
        </w:rPr>
        <w:t xml:space="preserve">Proposal </w:t>
      </w:r>
      <w:r>
        <w:rPr>
          <w:b/>
        </w:rPr>
        <w:t>11</w:t>
      </w:r>
      <w:r w:rsidRPr="00E11568">
        <w:rPr>
          <w:b/>
        </w:rPr>
        <w:t xml:space="preserve">: </w:t>
      </w:r>
      <w:r>
        <w:rPr>
          <w:b/>
        </w:rPr>
        <w:t>Agree that the MN can request the target configuration with a priority attached to its request.</w:t>
      </w:r>
    </w:p>
    <w:p w14:paraId="78F1E7C9" w14:textId="77777777" w:rsidR="00520017" w:rsidRDefault="00520017" w:rsidP="00520017">
      <w:r w:rsidRPr="00E82507">
        <w:rPr>
          <w:b/>
        </w:rPr>
        <w:t xml:space="preserve">Proposal 12: Agree that the SN </w:t>
      </w:r>
      <w:r w:rsidRPr="00E4365E">
        <w:rPr>
          <w:b/>
        </w:rPr>
        <w:t>can indicate to the MN the performance achievable with a proposed reconfiguration</w:t>
      </w:r>
      <w:r>
        <w:rPr>
          <w:b/>
        </w:rPr>
        <w:t>.</w:t>
      </w:r>
    </w:p>
    <w:p w14:paraId="35CF3267" w14:textId="77777777" w:rsidR="00CD4C7B" w:rsidRPr="006E13D1" w:rsidRDefault="00CD4C7B" w:rsidP="00CD4C7B">
      <w:pPr>
        <w:pStyle w:val="Heading1"/>
      </w:pPr>
      <w:r w:rsidRPr="006E13D1">
        <w:t>References</w:t>
      </w:r>
    </w:p>
    <w:p w14:paraId="68CD6684" w14:textId="77777777" w:rsidR="00102884" w:rsidRDefault="00102884" w:rsidP="00102884">
      <w:pPr>
        <w:numPr>
          <w:ilvl w:val="0"/>
          <w:numId w:val="4"/>
        </w:numPr>
        <w:overflowPunct w:val="0"/>
        <w:autoSpaceDE w:val="0"/>
        <w:autoSpaceDN w:val="0"/>
        <w:adjustRightInd w:val="0"/>
        <w:textAlignment w:val="baseline"/>
      </w:pPr>
      <w:r w:rsidRPr="00102884">
        <w:t>R2-1700407</w:t>
      </w:r>
      <w:r>
        <w:t xml:space="preserve">: </w:t>
      </w:r>
      <w:r w:rsidRPr="00102884">
        <w:rPr>
          <w:i/>
        </w:rPr>
        <w:t>Report of Email discussion 96-33 UE capability coordination</w:t>
      </w:r>
      <w:r>
        <w:t xml:space="preserve">, </w:t>
      </w:r>
      <w:r w:rsidRPr="00102884">
        <w:t>ZTE, ZTE Microelectronics</w:t>
      </w:r>
    </w:p>
    <w:p w14:paraId="0B959B3B" w14:textId="387615FD" w:rsidR="00842BA5" w:rsidRDefault="00842BA5" w:rsidP="00B013D4">
      <w:pPr>
        <w:numPr>
          <w:ilvl w:val="0"/>
          <w:numId w:val="4"/>
        </w:numPr>
        <w:overflowPunct w:val="0"/>
        <w:autoSpaceDE w:val="0"/>
        <w:autoSpaceDN w:val="0"/>
        <w:adjustRightInd w:val="0"/>
        <w:textAlignment w:val="baseline"/>
      </w:pPr>
      <w:r>
        <w:t>TR 38.912</w:t>
      </w:r>
      <w:r w:rsidR="00B013D4">
        <w:t xml:space="preserve">: </w:t>
      </w:r>
      <w:r w:rsidR="00B013D4" w:rsidRPr="00B013D4">
        <w:rPr>
          <w:i/>
        </w:rPr>
        <w:t>Study on new radio access technology</w:t>
      </w:r>
      <w:r w:rsidR="00B013D4">
        <w:rPr>
          <w:i/>
        </w:rPr>
        <w:t xml:space="preserve">, </w:t>
      </w:r>
      <w:r w:rsidR="00B013D4">
        <w:t>3GPP</w:t>
      </w:r>
    </w:p>
    <w:p w14:paraId="50CD08F2" w14:textId="76E83472" w:rsidR="004A3143" w:rsidRDefault="00F80EDE" w:rsidP="00F80EDE">
      <w:pPr>
        <w:numPr>
          <w:ilvl w:val="0"/>
          <w:numId w:val="4"/>
        </w:numPr>
        <w:overflowPunct w:val="0"/>
        <w:autoSpaceDE w:val="0"/>
        <w:autoSpaceDN w:val="0"/>
        <w:adjustRightInd w:val="0"/>
        <w:textAlignment w:val="baseline"/>
      </w:pPr>
      <w:r>
        <w:t xml:space="preserve">3GPP TS 36.306: </w:t>
      </w:r>
      <w:r w:rsidRPr="00F80EDE">
        <w:rPr>
          <w:i/>
        </w:rPr>
        <w:t>LTE; User Equipment (UE) radio access capabilities</w:t>
      </w:r>
      <w:r>
        <w:rPr>
          <w:i/>
        </w:rPr>
        <w:t xml:space="preserve">, </w:t>
      </w:r>
      <w:r>
        <w:t>3GPP</w:t>
      </w:r>
    </w:p>
    <w:p w14:paraId="7F60FC87" w14:textId="77777777" w:rsidR="004B5A6C" w:rsidRDefault="00102884" w:rsidP="00102884">
      <w:pPr>
        <w:numPr>
          <w:ilvl w:val="0"/>
          <w:numId w:val="4"/>
        </w:numPr>
        <w:overflowPunct w:val="0"/>
        <w:autoSpaceDE w:val="0"/>
        <w:autoSpaceDN w:val="0"/>
        <w:adjustRightInd w:val="0"/>
        <w:textAlignment w:val="baseline"/>
      </w:pPr>
      <w:r w:rsidRPr="00102884">
        <w:t>R2-1700054</w:t>
      </w:r>
      <w:r>
        <w:t xml:space="preserve">: </w:t>
      </w:r>
      <w:r w:rsidRPr="00102884">
        <w:rPr>
          <w:i/>
        </w:rPr>
        <w:t>UE capability aspects for LTE NR tight interworking</w:t>
      </w:r>
      <w:r>
        <w:t xml:space="preserve">, </w:t>
      </w:r>
      <w:r w:rsidRPr="00520350">
        <w:t>Nokia, Alcatel-Lucent Shanghai Bell</w:t>
      </w:r>
    </w:p>
    <w:p w14:paraId="2AE2D2A3" w14:textId="44388923" w:rsidR="00102884" w:rsidRPr="006E13D1" w:rsidRDefault="004B5A6C" w:rsidP="00102884">
      <w:pPr>
        <w:numPr>
          <w:ilvl w:val="0"/>
          <w:numId w:val="4"/>
        </w:numPr>
        <w:overflowPunct w:val="0"/>
        <w:autoSpaceDE w:val="0"/>
        <w:autoSpaceDN w:val="0"/>
        <w:adjustRightInd w:val="0"/>
        <w:textAlignment w:val="baseline"/>
      </w:pPr>
      <w:r>
        <w:t>R1-17</w:t>
      </w:r>
      <w:r w:rsidR="00B81833">
        <w:t>11396</w:t>
      </w:r>
      <w:r>
        <w:t xml:space="preserve">: </w:t>
      </w:r>
      <w:r w:rsidRPr="004B5A6C">
        <w:rPr>
          <w:i/>
        </w:rPr>
        <w:t>On power sharing between LTE and NR in DC</w:t>
      </w:r>
      <w:r>
        <w:t xml:space="preserve">, </w:t>
      </w:r>
      <w:r w:rsidRPr="00520350">
        <w:t>Nokia, Alcatel-Lucent Shanghai Bell</w:t>
      </w:r>
      <w:r w:rsidR="00102884">
        <w:t xml:space="preserve"> </w:t>
      </w:r>
    </w:p>
    <w:p w14:paraId="5B47CF93" w14:textId="7E7AFBD4" w:rsidR="00484555" w:rsidRPr="006E13D1" w:rsidRDefault="00484555" w:rsidP="00484555">
      <w:pPr>
        <w:pStyle w:val="Heading1"/>
      </w:pPr>
      <w:r>
        <w:lastRenderedPageBreak/>
        <w:t>Annex</w:t>
      </w:r>
    </w:p>
    <w:p w14:paraId="5AB77448" w14:textId="26EFDB69" w:rsidR="00CD4C7B" w:rsidRDefault="00484555" w:rsidP="00CD4C7B">
      <w:r>
        <w:rPr>
          <w:noProof/>
          <w:lang w:val="en-US"/>
        </w:rPr>
        <w:drawing>
          <wp:inline distT="0" distB="0" distL="0" distR="0" wp14:anchorId="3A693B51" wp14:editId="7B0EA8AF">
            <wp:extent cx="6122035" cy="458420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035" cy="4584203"/>
                    </a:xfrm>
                    <a:prstGeom prst="rect">
                      <a:avLst/>
                    </a:prstGeom>
                    <a:noFill/>
                    <a:ln>
                      <a:noFill/>
                    </a:ln>
                  </pic:spPr>
                </pic:pic>
              </a:graphicData>
            </a:graphic>
          </wp:inline>
        </w:drawing>
      </w:r>
    </w:p>
    <w:p w14:paraId="4AF4C96B"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8AD6F" w14:textId="77777777" w:rsidR="00E66B22" w:rsidRDefault="00E66B22">
      <w:r>
        <w:separator/>
      </w:r>
    </w:p>
  </w:endnote>
  <w:endnote w:type="continuationSeparator" w:id="0">
    <w:p w14:paraId="77DB3D27" w14:textId="77777777" w:rsidR="00E66B22" w:rsidRDefault="00E66B22">
      <w:r>
        <w:continuationSeparator/>
      </w:r>
    </w:p>
  </w:endnote>
  <w:endnote w:type="continuationNotice" w:id="1">
    <w:p w14:paraId="336996B7" w14:textId="77777777" w:rsidR="00E66B22" w:rsidRDefault="00E66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653C4" w14:textId="77777777" w:rsidR="00E66B22" w:rsidRDefault="00E66B22">
      <w:r>
        <w:separator/>
      </w:r>
    </w:p>
  </w:footnote>
  <w:footnote w:type="continuationSeparator" w:id="0">
    <w:p w14:paraId="3B245AC6" w14:textId="77777777" w:rsidR="00E66B22" w:rsidRDefault="00E66B22">
      <w:r>
        <w:continuationSeparator/>
      </w:r>
    </w:p>
  </w:footnote>
  <w:footnote w:type="continuationNotice" w:id="1">
    <w:p w14:paraId="32D92EF3" w14:textId="77777777" w:rsidR="00E66B22" w:rsidRDefault="00E66B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F4F02"/>
    <w:multiLevelType w:val="hybridMultilevel"/>
    <w:tmpl w:val="9272A47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616D4C"/>
    <w:multiLevelType w:val="hybridMultilevel"/>
    <w:tmpl w:val="9E9A16EE"/>
    <w:lvl w:ilvl="0" w:tplc="3A2ABB4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861627"/>
    <w:multiLevelType w:val="hybridMultilevel"/>
    <w:tmpl w:val="D456696C"/>
    <w:lvl w:ilvl="0" w:tplc="896211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68058C"/>
    <w:multiLevelType w:val="hybridMultilevel"/>
    <w:tmpl w:val="E5407754"/>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40C5518"/>
    <w:multiLevelType w:val="hybridMultilevel"/>
    <w:tmpl w:val="A148B86C"/>
    <w:lvl w:ilvl="0" w:tplc="BFE07E00">
      <w:start w:val="1"/>
      <w:numFmt w:val="bullet"/>
      <w:lvlText w:val="•"/>
      <w:lvlJc w:val="left"/>
      <w:pPr>
        <w:tabs>
          <w:tab w:val="num" w:pos="720"/>
        </w:tabs>
        <w:ind w:left="720" w:hanging="360"/>
      </w:pPr>
      <w:rPr>
        <w:rFonts w:ascii="Arial" w:hAnsi="Arial" w:hint="default"/>
      </w:rPr>
    </w:lvl>
    <w:lvl w:ilvl="1" w:tplc="2874767A">
      <w:numFmt w:val="bullet"/>
      <w:lvlText w:val="•"/>
      <w:lvlJc w:val="left"/>
      <w:pPr>
        <w:tabs>
          <w:tab w:val="num" w:pos="1440"/>
        </w:tabs>
        <w:ind w:left="1440" w:hanging="360"/>
      </w:pPr>
      <w:rPr>
        <w:rFonts w:ascii="Arial" w:hAnsi="Arial" w:hint="default"/>
      </w:rPr>
    </w:lvl>
    <w:lvl w:ilvl="2" w:tplc="CB76137C" w:tentative="1">
      <w:start w:val="1"/>
      <w:numFmt w:val="bullet"/>
      <w:lvlText w:val="•"/>
      <w:lvlJc w:val="left"/>
      <w:pPr>
        <w:tabs>
          <w:tab w:val="num" w:pos="2160"/>
        </w:tabs>
        <w:ind w:left="2160" w:hanging="360"/>
      </w:pPr>
      <w:rPr>
        <w:rFonts w:ascii="Arial" w:hAnsi="Arial" w:hint="default"/>
      </w:rPr>
    </w:lvl>
    <w:lvl w:ilvl="3" w:tplc="DB04CEA8" w:tentative="1">
      <w:start w:val="1"/>
      <w:numFmt w:val="bullet"/>
      <w:lvlText w:val="•"/>
      <w:lvlJc w:val="left"/>
      <w:pPr>
        <w:tabs>
          <w:tab w:val="num" w:pos="2880"/>
        </w:tabs>
        <w:ind w:left="2880" w:hanging="360"/>
      </w:pPr>
      <w:rPr>
        <w:rFonts w:ascii="Arial" w:hAnsi="Arial" w:hint="default"/>
      </w:rPr>
    </w:lvl>
    <w:lvl w:ilvl="4" w:tplc="9216C042" w:tentative="1">
      <w:start w:val="1"/>
      <w:numFmt w:val="bullet"/>
      <w:lvlText w:val="•"/>
      <w:lvlJc w:val="left"/>
      <w:pPr>
        <w:tabs>
          <w:tab w:val="num" w:pos="3600"/>
        </w:tabs>
        <w:ind w:left="3600" w:hanging="360"/>
      </w:pPr>
      <w:rPr>
        <w:rFonts w:ascii="Arial" w:hAnsi="Arial" w:hint="default"/>
      </w:rPr>
    </w:lvl>
    <w:lvl w:ilvl="5" w:tplc="14208F78" w:tentative="1">
      <w:start w:val="1"/>
      <w:numFmt w:val="bullet"/>
      <w:lvlText w:val="•"/>
      <w:lvlJc w:val="left"/>
      <w:pPr>
        <w:tabs>
          <w:tab w:val="num" w:pos="4320"/>
        </w:tabs>
        <w:ind w:left="4320" w:hanging="360"/>
      </w:pPr>
      <w:rPr>
        <w:rFonts w:ascii="Arial" w:hAnsi="Arial" w:hint="default"/>
      </w:rPr>
    </w:lvl>
    <w:lvl w:ilvl="6" w:tplc="75EA1422" w:tentative="1">
      <w:start w:val="1"/>
      <w:numFmt w:val="bullet"/>
      <w:lvlText w:val="•"/>
      <w:lvlJc w:val="left"/>
      <w:pPr>
        <w:tabs>
          <w:tab w:val="num" w:pos="5040"/>
        </w:tabs>
        <w:ind w:left="5040" w:hanging="360"/>
      </w:pPr>
      <w:rPr>
        <w:rFonts w:ascii="Arial" w:hAnsi="Arial" w:hint="default"/>
      </w:rPr>
    </w:lvl>
    <w:lvl w:ilvl="7" w:tplc="B562E36E" w:tentative="1">
      <w:start w:val="1"/>
      <w:numFmt w:val="bullet"/>
      <w:lvlText w:val="•"/>
      <w:lvlJc w:val="left"/>
      <w:pPr>
        <w:tabs>
          <w:tab w:val="num" w:pos="5760"/>
        </w:tabs>
        <w:ind w:left="5760" w:hanging="360"/>
      </w:pPr>
      <w:rPr>
        <w:rFonts w:ascii="Arial" w:hAnsi="Arial" w:hint="default"/>
      </w:rPr>
    </w:lvl>
    <w:lvl w:ilvl="8" w:tplc="7B46AD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0B7716"/>
    <w:multiLevelType w:val="hybridMultilevel"/>
    <w:tmpl w:val="BFBE663A"/>
    <w:lvl w:ilvl="0" w:tplc="048E0792">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2"/>
  </w:num>
  <w:num w:numId="8">
    <w:abstractNumId w:val="7"/>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623"/>
    <w:rsid w:val="0001697F"/>
    <w:rsid w:val="00033397"/>
    <w:rsid w:val="00035218"/>
    <w:rsid w:val="00040095"/>
    <w:rsid w:val="00063498"/>
    <w:rsid w:val="00077C65"/>
    <w:rsid w:val="00080512"/>
    <w:rsid w:val="00090468"/>
    <w:rsid w:val="000A3BAE"/>
    <w:rsid w:val="000B7BCF"/>
    <w:rsid w:val="000C3ABB"/>
    <w:rsid w:val="000C522B"/>
    <w:rsid w:val="000D0C82"/>
    <w:rsid w:val="000D58AB"/>
    <w:rsid w:val="000E2EBD"/>
    <w:rsid w:val="000F3826"/>
    <w:rsid w:val="00101645"/>
    <w:rsid w:val="00102884"/>
    <w:rsid w:val="00103C86"/>
    <w:rsid w:val="00117492"/>
    <w:rsid w:val="00136B13"/>
    <w:rsid w:val="00156718"/>
    <w:rsid w:val="001741A0"/>
    <w:rsid w:val="00177D66"/>
    <w:rsid w:val="00194CD0"/>
    <w:rsid w:val="001B49C9"/>
    <w:rsid w:val="001D2BF6"/>
    <w:rsid w:val="001E521D"/>
    <w:rsid w:val="001F168B"/>
    <w:rsid w:val="001F7831"/>
    <w:rsid w:val="00204045"/>
    <w:rsid w:val="00224DF4"/>
    <w:rsid w:val="0022606D"/>
    <w:rsid w:val="0022616B"/>
    <w:rsid w:val="0024310C"/>
    <w:rsid w:val="002747EC"/>
    <w:rsid w:val="002855BF"/>
    <w:rsid w:val="00292D03"/>
    <w:rsid w:val="0029618D"/>
    <w:rsid w:val="002B3110"/>
    <w:rsid w:val="002F0D22"/>
    <w:rsid w:val="003172DC"/>
    <w:rsid w:val="00323F46"/>
    <w:rsid w:val="00326069"/>
    <w:rsid w:val="003354FA"/>
    <w:rsid w:val="0035462D"/>
    <w:rsid w:val="00373F7C"/>
    <w:rsid w:val="003857B4"/>
    <w:rsid w:val="003878D6"/>
    <w:rsid w:val="00391497"/>
    <w:rsid w:val="00391DD0"/>
    <w:rsid w:val="00397F0C"/>
    <w:rsid w:val="003B40AD"/>
    <w:rsid w:val="003B7BBC"/>
    <w:rsid w:val="003C4E37"/>
    <w:rsid w:val="003D1B9A"/>
    <w:rsid w:val="003D7382"/>
    <w:rsid w:val="003D770D"/>
    <w:rsid w:val="003E16BE"/>
    <w:rsid w:val="003F30D2"/>
    <w:rsid w:val="00401855"/>
    <w:rsid w:val="004238A4"/>
    <w:rsid w:val="00424BA7"/>
    <w:rsid w:val="0043184C"/>
    <w:rsid w:val="00433B58"/>
    <w:rsid w:val="00436FA6"/>
    <w:rsid w:val="0047045A"/>
    <w:rsid w:val="00471011"/>
    <w:rsid w:val="00477455"/>
    <w:rsid w:val="00484555"/>
    <w:rsid w:val="00497723"/>
    <w:rsid w:val="004A3143"/>
    <w:rsid w:val="004B5A6C"/>
    <w:rsid w:val="004D3578"/>
    <w:rsid w:val="004D380D"/>
    <w:rsid w:val="004D4CB6"/>
    <w:rsid w:val="004E213A"/>
    <w:rsid w:val="00503171"/>
    <w:rsid w:val="00506C28"/>
    <w:rsid w:val="00520017"/>
    <w:rsid w:val="00534DA0"/>
    <w:rsid w:val="005369C8"/>
    <w:rsid w:val="00543E6C"/>
    <w:rsid w:val="00565087"/>
    <w:rsid w:val="0056573F"/>
    <w:rsid w:val="005670FB"/>
    <w:rsid w:val="005704CF"/>
    <w:rsid w:val="00571882"/>
    <w:rsid w:val="00577E94"/>
    <w:rsid w:val="0059506C"/>
    <w:rsid w:val="005A3C1F"/>
    <w:rsid w:val="005A3DDA"/>
    <w:rsid w:val="005E59DF"/>
    <w:rsid w:val="005F0C15"/>
    <w:rsid w:val="005F1F6B"/>
    <w:rsid w:val="005F555C"/>
    <w:rsid w:val="00611566"/>
    <w:rsid w:val="00622AFF"/>
    <w:rsid w:val="00623807"/>
    <w:rsid w:val="00630313"/>
    <w:rsid w:val="00646D99"/>
    <w:rsid w:val="00656910"/>
    <w:rsid w:val="006C66D8"/>
    <w:rsid w:val="006D1E24"/>
    <w:rsid w:val="006D609F"/>
    <w:rsid w:val="006E1417"/>
    <w:rsid w:val="006E48F8"/>
    <w:rsid w:val="006F6A2C"/>
    <w:rsid w:val="00734A5B"/>
    <w:rsid w:val="007361D3"/>
    <w:rsid w:val="00737723"/>
    <w:rsid w:val="00737F86"/>
    <w:rsid w:val="00744E76"/>
    <w:rsid w:val="00746599"/>
    <w:rsid w:val="00757D40"/>
    <w:rsid w:val="00770CF3"/>
    <w:rsid w:val="00777C15"/>
    <w:rsid w:val="00781AC4"/>
    <w:rsid w:val="00781F0F"/>
    <w:rsid w:val="0078433A"/>
    <w:rsid w:val="0078727C"/>
    <w:rsid w:val="0079049D"/>
    <w:rsid w:val="007B18D8"/>
    <w:rsid w:val="007C095F"/>
    <w:rsid w:val="007C7862"/>
    <w:rsid w:val="007D2F85"/>
    <w:rsid w:val="007E72DB"/>
    <w:rsid w:val="008028A4"/>
    <w:rsid w:val="008163D2"/>
    <w:rsid w:val="00823342"/>
    <w:rsid w:val="00842BA5"/>
    <w:rsid w:val="008768CA"/>
    <w:rsid w:val="00877EF9"/>
    <w:rsid w:val="00880559"/>
    <w:rsid w:val="00883027"/>
    <w:rsid w:val="008931A4"/>
    <w:rsid w:val="008A2E17"/>
    <w:rsid w:val="0090271F"/>
    <w:rsid w:val="009168AB"/>
    <w:rsid w:val="0093022A"/>
    <w:rsid w:val="00936071"/>
    <w:rsid w:val="0094277F"/>
    <w:rsid w:val="00942EC2"/>
    <w:rsid w:val="00961B32"/>
    <w:rsid w:val="00974BB0"/>
    <w:rsid w:val="009A0AF3"/>
    <w:rsid w:val="009A43F0"/>
    <w:rsid w:val="009B07CD"/>
    <w:rsid w:val="009C19E9"/>
    <w:rsid w:val="00A10F02"/>
    <w:rsid w:val="00A30182"/>
    <w:rsid w:val="00A50697"/>
    <w:rsid w:val="00A50D71"/>
    <w:rsid w:val="00A53724"/>
    <w:rsid w:val="00A82346"/>
    <w:rsid w:val="00A86925"/>
    <w:rsid w:val="00A9671C"/>
    <w:rsid w:val="00AA1D98"/>
    <w:rsid w:val="00AA323C"/>
    <w:rsid w:val="00AA344F"/>
    <w:rsid w:val="00AA376F"/>
    <w:rsid w:val="00AA788A"/>
    <w:rsid w:val="00B013D4"/>
    <w:rsid w:val="00B15449"/>
    <w:rsid w:val="00B47FD1"/>
    <w:rsid w:val="00B77A39"/>
    <w:rsid w:val="00B81833"/>
    <w:rsid w:val="00BC4748"/>
    <w:rsid w:val="00C0100C"/>
    <w:rsid w:val="00C12B51"/>
    <w:rsid w:val="00C24650"/>
    <w:rsid w:val="00C276F1"/>
    <w:rsid w:val="00C32E78"/>
    <w:rsid w:val="00C33079"/>
    <w:rsid w:val="00C6259F"/>
    <w:rsid w:val="00C83A13"/>
    <w:rsid w:val="00C92284"/>
    <w:rsid w:val="00CA3D0C"/>
    <w:rsid w:val="00CA654B"/>
    <w:rsid w:val="00CB2A1C"/>
    <w:rsid w:val="00CC3927"/>
    <w:rsid w:val="00CD4C7B"/>
    <w:rsid w:val="00CD59B4"/>
    <w:rsid w:val="00CE4127"/>
    <w:rsid w:val="00D66021"/>
    <w:rsid w:val="00D738D6"/>
    <w:rsid w:val="00D80795"/>
    <w:rsid w:val="00D87E00"/>
    <w:rsid w:val="00D9134D"/>
    <w:rsid w:val="00D96D11"/>
    <w:rsid w:val="00DA7A03"/>
    <w:rsid w:val="00DB080E"/>
    <w:rsid w:val="00DB1818"/>
    <w:rsid w:val="00DC309B"/>
    <w:rsid w:val="00DC4DA2"/>
    <w:rsid w:val="00E04493"/>
    <w:rsid w:val="00E11568"/>
    <w:rsid w:val="00E4365E"/>
    <w:rsid w:val="00E57B51"/>
    <w:rsid w:val="00E62835"/>
    <w:rsid w:val="00E644A6"/>
    <w:rsid w:val="00E66B22"/>
    <w:rsid w:val="00E77645"/>
    <w:rsid w:val="00E82507"/>
    <w:rsid w:val="00E83697"/>
    <w:rsid w:val="00E843A4"/>
    <w:rsid w:val="00E84FE6"/>
    <w:rsid w:val="00EB1C02"/>
    <w:rsid w:val="00EC00E7"/>
    <w:rsid w:val="00EC3E90"/>
    <w:rsid w:val="00EC4A25"/>
    <w:rsid w:val="00F025A2"/>
    <w:rsid w:val="00F07388"/>
    <w:rsid w:val="00F142B0"/>
    <w:rsid w:val="00F2026E"/>
    <w:rsid w:val="00F2210A"/>
    <w:rsid w:val="00F37743"/>
    <w:rsid w:val="00F5487B"/>
    <w:rsid w:val="00F54A3D"/>
    <w:rsid w:val="00F653B8"/>
    <w:rsid w:val="00F6755D"/>
    <w:rsid w:val="00F70C92"/>
    <w:rsid w:val="00F71B89"/>
    <w:rsid w:val="00F71DBF"/>
    <w:rsid w:val="00F7353C"/>
    <w:rsid w:val="00F76F8F"/>
    <w:rsid w:val="00F80EDE"/>
    <w:rsid w:val="00F80EFD"/>
    <w:rsid w:val="00FA1266"/>
    <w:rsid w:val="00FA38DF"/>
    <w:rsid w:val="00FA4DF5"/>
    <w:rsid w:val="00FB70E4"/>
    <w:rsid w:val="00FC1192"/>
    <w:rsid w:val="00FD1257"/>
    <w:rsid w:val="00FF25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596D37"/>
  <w15:chartTrackingRefBased/>
  <w15:docId w15:val="{F18C826D-8879-4241-8AD1-A7C940A97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4277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4277F"/>
    <w:rPr>
      <w:rFonts w:ascii="Arial" w:eastAsia="MS Mincho" w:hAnsi="Arial"/>
      <w:szCs w:val="24"/>
    </w:rPr>
  </w:style>
  <w:style w:type="paragraph" w:styleId="ListParagraph">
    <w:name w:val="List Paragraph"/>
    <w:basedOn w:val="Normal"/>
    <w:uiPriority w:val="34"/>
    <w:qFormat/>
    <w:rsid w:val="00AA788A"/>
    <w:pPr>
      <w:ind w:left="720"/>
      <w:contextualSpacing/>
    </w:pPr>
  </w:style>
  <w:style w:type="table" w:styleId="TableGrid">
    <w:name w:val="Table Grid"/>
    <w:basedOn w:val="TableNormal"/>
    <w:rsid w:val="004710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23807"/>
    <w:rPr>
      <w:lang w:eastAsia="en-US"/>
    </w:rPr>
  </w:style>
  <w:style w:type="character" w:customStyle="1" w:styleId="B2Char">
    <w:name w:val="B2 Char"/>
    <w:link w:val="B2"/>
    <w:rsid w:val="00623807"/>
    <w:rPr>
      <w:lang w:eastAsia="en-US"/>
    </w:rPr>
  </w:style>
  <w:style w:type="character" w:customStyle="1" w:styleId="PLChar">
    <w:name w:val="PL Char"/>
    <w:link w:val="PL"/>
    <w:rsid w:val="00D66021"/>
    <w:rPr>
      <w:rFonts w:ascii="Courier New" w:hAnsi="Courier New"/>
      <w:noProof/>
      <w:sz w:val="16"/>
      <w:lang w:eastAsia="en-US"/>
    </w:rPr>
  </w:style>
  <w:style w:type="character" w:styleId="CommentReference">
    <w:name w:val="annotation reference"/>
    <w:basedOn w:val="DefaultParagraphFont"/>
    <w:rsid w:val="00622AFF"/>
    <w:rPr>
      <w:sz w:val="16"/>
      <w:szCs w:val="16"/>
    </w:rPr>
  </w:style>
  <w:style w:type="paragraph" w:styleId="CommentText">
    <w:name w:val="annotation text"/>
    <w:basedOn w:val="Normal"/>
    <w:link w:val="CommentTextChar"/>
    <w:rsid w:val="00622AFF"/>
  </w:style>
  <w:style w:type="character" w:customStyle="1" w:styleId="CommentTextChar">
    <w:name w:val="Comment Text Char"/>
    <w:basedOn w:val="DefaultParagraphFont"/>
    <w:link w:val="CommentText"/>
    <w:rsid w:val="00622AFF"/>
    <w:rPr>
      <w:lang w:eastAsia="en-US"/>
    </w:rPr>
  </w:style>
  <w:style w:type="paragraph" w:styleId="CommentSubject">
    <w:name w:val="annotation subject"/>
    <w:basedOn w:val="CommentText"/>
    <w:next w:val="CommentText"/>
    <w:link w:val="CommentSubjectChar"/>
    <w:rsid w:val="00622AFF"/>
    <w:rPr>
      <w:b/>
      <w:bCs/>
    </w:rPr>
  </w:style>
  <w:style w:type="character" w:customStyle="1" w:styleId="CommentSubjectChar">
    <w:name w:val="Comment Subject Char"/>
    <w:basedOn w:val="CommentTextChar"/>
    <w:link w:val="CommentSubject"/>
    <w:rsid w:val="00622AFF"/>
    <w:rPr>
      <w:b/>
      <w:bCs/>
      <w:lang w:eastAsia="en-US"/>
    </w:rPr>
  </w:style>
  <w:style w:type="paragraph" w:styleId="BalloonText">
    <w:name w:val="Balloon Text"/>
    <w:basedOn w:val="Normal"/>
    <w:link w:val="BalloonTextChar"/>
    <w:rsid w:val="00622AFF"/>
    <w:pPr>
      <w:spacing w:after="0"/>
    </w:pPr>
    <w:rPr>
      <w:rFonts w:ascii="Segoe UI" w:hAnsi="Segoe UI" w:cs="Segoe UI"/>
      <w:sz w:val="18"/>
      <w:szCs w:val="18"/>
    </w:rPr>
  </w:style>
  <w:style w:type="character" w:customStyle="1" w:styleId="BalloonTextChar">
    <w:name w:val="Balloon Text Char"/>
    <w:basedOn w:val="DefaultParagraphFont"/>
    <w:link w:val="BalloonText"/>
    <w:rsid w:val="00622AFF"/>
    <w:rPr>
      <w:rFonts w:ascii="Segoe UI" w:hAnsi="Segoe UI" w:cs="Segoe UI"/>
      <w:sz w:val="18"/>
      <w:szCs w:val="18"/>
      <w:lang w:eastAsia="en-US"/>
    </w:rPr>
  </w:style>
  <w:style w:type="character" w:customStyle="1" w:styleId="TALCar">
    <w:name w:val="TAL Car"/>
    <w:basedOn w:val="DefaultParagraphFont"/>
    <w:link w:val="TAL"/>
    <w:rsid w:val="008163D2"/>
    <w:rPr>
      <w:rFonts w:ascii="Arial" w:hAnsi="Arial"/>
      <w:sz w:val="18"/>
      <w:lang w:eastAsia="en-US"/>
    </w:rPr>
  </w:style>
  <w:style w:type="character" w:customStyle="1" w:styleId="THChar">
    <w:name w:val="TH Char"/>
    <w:basedOn w:val="DefaultParagraphFont"/>
    <w:link w:val="TH"/>
    <w:rsid w:val="009168AB"/>
    <w:rPr>
      <w:rFonts w:ascii="Arial" w:hAnsi="Arial"/>
      <w:b/>
      <w:lang w:eastAsia="en-US"/>
    </w:rPr>
  </w:style>
  <w:style w:type="paragraph" w:styleId="Caption">
    <w:name w:val="caption"/>
    <w:aliases w:val="cap,cap Char,Caption Char,Caption Char1 Char,cap Char Char1,Caption Char Char1 Char,cap Char2,题注"/>
    <w:basedOn w:val="Normal"/>
    <w:next w:val="Normal"/>
    <w:link w:val="CaptionChar1"/>
    <w:qFormat/>
    <w:rsid w:val="00DB080E"/>
    <w:pPr>
      <w:spacing w:before="120" w:after="120" w:line="259" w:lineRule="auto"/>
    </w:pPr>
    <w:rPr>
      <w:rFonts w:asciiTheme="minorHAnsi" w:eastAsiaTheme="minorHAnsi" w:hAnsiTheme="minorHAnsi" w:cstheme="minorBidi"/>
      <w:b/>
      <w:noProof/>
      <w:sz w:val="22"/>
      <w:szCs w:val="22"/>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080E"/>
    <w:rPr>
      <w:rFonts w:asciiTheme="minorHAnsi" w:eastAsiaTheme="minorHAnsi" w:hAnsiTheme="minorHAnsi" w:cstheme="minorBidi"/>
      <w:b/>
      <w:noProof/>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SP-5AIRPNAIUNRU-859666464-399</_dlc_DocId>
    <_dlc_DocIdUrl xmlns="71c5aaf6-e6ce-465b-b873-5148d2a4c105">
      <Url>https://nokia.sharepoint.com/sites/c5g/e2earch/_layouts/15/DocIdRedir.aspx?ID=SP-5AIRPNAIUNRU-859666464-399</Url>
      <Description>SP-5AIRPNAIUNRU-859666464-399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1A5BC1-712A-47C3-8D3A-75FB0507B2C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5ABDA1F-A1EF-4E2E-91D3-5DFC415C6FE7}">
  <ds:schemaRefs>
    <ds:schemaRef ds:uri="http://schemas.microsoft.com/sharepoint/v3/contenttype/forms"/>
  </ds:schemaRefs>
</ds:datastoreItem>
</file>

<file path=customXml/itemProps3.xml><?xml version="1.0" encoding="utf-8"?>
<ds:datastoreItem xmlns:ds="http://schemas.openxmlformats.org/officeDocument/2006/customXml" ds:itemID="{5D9F690E-9525-4D1A-A0E0-487CA7E49FFB}">
  <ds:schemaRefs>
    <ds:schemaRef ds:uri="http://schemas.microsoft.com/sharepoint/events"/>
  </ds:schemaRefs>
</ds:datastoreItem>
</file>

<file path=customXml/itemProps4.xml><?xml version="1.0" encoding="utf-8"?>
<ds:datastoreItem xmlns:ds="http://schemas.openxmlformats.org/officeDocument/2006/customXml" ds:itemID="{52A14605-552B-41B7-82A4-5C355797F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1472</TotalTime>
  <Pages>1</Pages>
  <Words>3698</Words>
  <Characters>21082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24731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Ali, Amaanat (Nokia - FI/Espoo)</dc:creator>
  <cp:keywords/>
  <dc:description/>
  <cp:lastModifiedBy>Ali, Amaanat (Nokia - FI/Espoo)</cp:lastModifiedBy>
  <cp:revision>59</cp:revision>
  <dcterms:created xsi:type="dcterms:W3CDTF">2017-04-13T13:05:00Z</dcterms:created>
  <dcterms:modified xsi:type="dcterms:W3CDTF">2017-06-17T06:08:00Z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230a0ed6-19f1-45c2-9b59-42cbc200679f</vt:lpwstr>
  </property>
</Properties>
</file>